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7C7AC078" w14:textId="59882606" w:rsidR="007E28C9" w:rsidRPr="007E28C9" w:rsidRDefault="004033F1" w:rsidP="007E28C9">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EB493F" w:rsidRPr="00284FA4" w:rsidRDefault="00EB493F">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EB493F" w:rsidRPr="004033F1" w:rsidRDefault="00EB493F">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EB493F" w:rsidRDefault="00EB493F"/>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E28C9">
        <w:rPr>
          <w:rFonts w:ascii="Calibri" w:hAnsi="Calibri"/>
          <w:b/>
          <w:noProof/>
          <w:color w:val="48B49F"/>
          <w:sz w:val="56"/>
          <w:szCs w:val="56"/>
        </w:rPr>
        <w:t>Bio-I</w:t>
      </w:r>
      <w:r w:rsidR="007E28C9" w:rsidRPr="007E28C9">
        <w:rPr>
          <w:rFonts w:ascii="Calibri" w:hAnsi="Calibri"/>
          <w:b/>
          <w:noProof/>
          <w:color w:val="48B49F"/>
          <w:sz w:val="56"/>
          <w:szCs w:val="56"/>
        </w:rPr>
        <w:t>nspired Polymers</w:t>
      </w:r>
    </w:p>
    <w:p w14:paraId="0C36B415" w14:textId="77777777" w:rsidR="007E28C9" w:rsidRDefault="007E28C9" w:rsidP="007E28C9">
      <w:pPr>
        <w:rPr>
          <w:rFonts w:ascii="Cambria" w:hAnsi="Cambria"/>
          <w:b/>
        </w:rPr>
      </w:pPr>
    </w:p>
    <w:p w14:paraId="10530150" w14:textId="268E0450" w:rsidR="007E28C9" w:rsidRPr="007E28C9" w:rsidRDefault="007E28C9" w:rsidP="007E28C9">
      <w:pPr>
        <w:rPr>
          <w:rFonts w:ascii="Calibri" w:hAnsi="Calibri"/>
          <w:b/>
          <w:color w:val="48B49F"/>
          <w:sz w:val="26"/>
          <w:szCs w:val="26"/>
        </w:rPr>
      </w:pPr>
      <w:r w:rsidRPr="007E28C9">
        <w:rPr>
          <w:rFonts w:ascii="Calibri" w:hAnsi="Calibri"/>
          <w:b/>
          <w:color w:val="48B49F"/>
          <w:sz w:val="26"/>
          <w:szCs w:val="26"/>
        </w:rPr>
        <w:t>Teacher Background Information:</w:t>
      </w:r>
    </w:p>
    <w:p w14:paraId="5B6601B3" w14:textId="77777777" w:rsidR="007E28C9" w:rsidRPr="007E28C9" w:rsidRDefault="007E28C9" w:rsidP="007E28C9">
      <w:pPr>
        <w:rPr>
          <w:rFonts w:ascii="Cambria" w:hAnsi="Cambria"/>
          <w:sz w:val="22"/>
          <w:szCs w:val="22"/>
        </w:rPr>
      </w:pPr>
      <w:r w:rsidRPr="007E28C9">
        <w:rPr>
          <w:rFonts w:ascii="Cambria" w:hAnsi="Cambria"/>
          <w:sz w:val="22"/>
          <w:szCs w:val="22"/>
        </w:rPr>
        <w:t xml:space="preserve">This lesson is based on research and development currently underway at the Warner Babcock Institute for Green Chemistry. The material VBT is a product of the Warner Babcock Institute for Green Chemistry and is unavailable for purchase by teachers. Beyond Benign is working to create a teaching kit that includes the material which may be available </w:t>
      </w:r>
      <w:proofErr w:type="gramStart"/>
      <w:r w:rsidRPr="007E28C9">
        <w:rPr>
          <w:rFonts w:ascii="Cambria" w:hAnsi="Cambria"/>
          <w:sz w:val="22"/>
          <w:szCs w:val="22"/>
        </w:rPr>
        <w:t>in the near future</w:t>
      </w:r>
      <w:proofErr w:type="gramEnd"/>
      <w:r w:rsidRPr="007E28C9">
        <w:rPr>
          <w:rFonts w:ascii="Cambria" w:hAnsi="Cambria"/>
          <w:sz w:val="22"/>
          <w:szCs w:val="22"/>
        </w:rPr>
        <w:t>.</w:t>
      </w:r>
    </w:p>
    <w:p w14:paraId="735C0D3C" w14:textId="77777777" w:rsidR="007E28C9" w:rsidRPr="007E28C9" w:rsidRDefault="007E28C9" w:rsidP="007E28C9">
      <w:pPr>
        <w:rPr>
          <w:rFonts w:ascii="Cambria" w:hAnsi="Cambria"/>
          <w:sz w:val="22"/>
          <w:szCs w:val="22"/>
        </w:rPr>
      </w:pPr>
    </w:p>
    <w:p w14:paraId="2D74B581" w14:textId="77777777" w:rsidR="007E28C9" w:rsidRPr="007E28C9" w:rsidRDefault="007E28C9" w:rsidP="007E28C9">
      <w:pPr>
        <w:rPr>
          <w:rFonts w:ascii="Cambria" w:hAnsi="Cambria"/>
          <w:sz w:val="22"/>
          <w:szCs w:val="22"/>
        </w:rPr>
      </w:pPr>
      <w:r w:rsidRPr="007E28C9">
        <w:rPr>
          <w:rFonts w:ascii="Cambria" w:hAnsi="Cambria"/>
          <w:sz w:val="22"/>
          <w:szCs w:val="22"/>
        </w:rPr>
        <w:t>Please see additional teacher background at the end of the lesson.</w:t>
      </w:r>
    </w:p>
    <w:p w14:paraId="7163CF55" w14:textId="77777777" w:rsidR="007E28C9" w:rsidRPr="007A61FA" w:rsidRDefault="007E28C9" w:rsidP="007E28C9">
      <w:pPr>
        <w:rPr>
          <w:rFonts w:ascii="Cambria" w:hAnsi="Cambria"/>
          <w:b/>
        </w:rPr>
      </w:pPr>
    </w:p>
    <w:p w14:paraId="1D15D5EF" w14:textId="77777777" w:rsidR="007E28C9" w:rsidRPr="007E28C9" w:rsidRDefault="007E28C9" w:rsidP="007E28C9">
      <w:pPr>
        <w:rPr>
          <w:rFonts w:ascii="Cambria" w:hAnsi="Cambria"/>
          <w:sz w:val="22"/>
          <w:szCs w:val="22"/>
        </w:rPr>
      </w:pPr>
      <w:r w:rsidRPr="007E28C9">
        <w:rPr>
          <w:rFonts w:ascii="Calibri" w:hAnsi="Calibri"/>
          <w:b/>
          <w:color w:val="48B49F"/>
          <w:sz w:val="26"/>
          <w:szCs w:val="26"/>
        </w:rPr>
        <w:t>Safety Information:</w:t>
      </w:r>
      <w:r w:rsidRPr="007A61FA">
        <w:rPr>
          <w:rFonts w:ascii="Cambria" w:hAnsi="Cambria"/>
          <w:b/>
        </w:rPr>
        <w:t xml:space="preserve"> </w:t>
      </w:r>
      <w:r w:rsidRPr="007E28C9">
        <w:rPr>
          <w:rFonts w:ascii="Cambria" w:hAnsi="Cambria"/>
          <w:sz w:val="22"/>
          <w:szCs w:val="22"/>
        </w:rPr>
        <w:t xml:space="preserve">UV light safety procedure for students; </w:t>
      </w:r>
      <w:proofErr w:type="spellStart"/>
      <w:r w:rsidRPr="007E28C9">
        <w:rPr>
          <w:rFonts w:ascii="Cambria" w:hAnsi="Cambria"/>
          <w:sz w:val="22"/>
          <w:szCs w:val="22"/>
        </w:rPr>
        <w:t>cleanup</w:t>
      </w:r>
      <w:proofErr w:type="spellEnd"/>
      <w:r w:rsidRPr="007E28C9">
        <w:rPr>
          <w:rFonts w:ascii="Cambria" w:hAnsi="Cambria"/>
          <w:sz w:val="22"/>
          <w:szCs w:val="22"/>
        </w:rPr>
        <w:t xml:space="preserve"> information in procedure; contact Beyond Benign for SDS for VBT </w:t>
      </w:r>
    </w:p>
    <w:p w14:paraId="69BCF495" w14:textId="77777777" w:rsidR="007E28C9" w:rsidRPr="007A61FA" w:rsidRDefault="007E28C9" w:rsidP="007E28C9">
      <w:pPr>
        <w:rPr>
          <w:rFonts w:ascii="Cambria" w:hAnsi="Cambria"/>
          <w:b/>
        </w:rPr>
      </w:pPr>
    </w:p>
    <w:p w14:paraId="10FFF244" w14:textId="77777777" w:rsidR="007E28C9" w:rsidRPr="007E28C9" w:rsidRDefault="007E28C9" w:rsidP="007E28C9">
      <w:pPr>
        <w:rPr>
          <w:rFonts w:ascii="Cambria" w:hAnsi="Cambria"/>
          <w:sz w:val="22"/>
          <w:szCs w:val="22"/>
        </w:rPr>
      </w:pPr>
      <w:r w:rsidRPr="007E28C9">
        <w:rPr>
          <w:rFonts w:ascii="Calibri" w:hAnsi="Calibri"/>
          <w:b/>
          <w:color w:val="48B49F"/>
          <w:sz w:val="26"/>
          <w:szCs w:val="26"/>
        </w:rPr>
        <w:t>Educational Goals:</w:t>
      </w:r>
      <w:r w:rsidRPr="007A61FA">
        <w:rPr>
          <w:rFonts w:ascii="Cambria" w:hAnsi="Cambria"/>
        </w:rPr>
        <w:t xml:space="preserve">  </w:t>
      </w:r>
      <w:r w:rsidRPr="007E28C9">
        <w:rPr>
          <w:rFonts w:ascii="Cambria" w:hAnsi="Cambria"/>
          <w:sz w:val="22"/>
          <w:szCs w:val="22"/>
        </w:rPr>
        <w:t>To understand photoresists and how polymer chemistry is being used in common technology. To introduce students to a technology that has been developed through green chemistry techniques to solve a problem in manufacturing and in creating less e-waste.</w:t>
      </w:r>
    </w:p>
    <w:p w14:paraId="45FDD107" w14:textId="77777777" w:rsidR="007E28C9" w:rsidRPr="007A61FA" w:rsidRDefault="007E28C9" w:rsidP="007E28C9">
      <w:pPr>
        <w:pStyle w:val="body"/>
        <w:rPr>
          <w:rFonts w:ascii="Cambria" w:hAnsi="Cambria"/>
          <w:smallCaps/>
          <w:sz w:val="24"/>
          <w:szCs w:val="24"/>
        </w:rPr>
      </w:pPr>
    </w:p>
    <w:p w14:paraId="3548C778" w14:textId="77777777" w:rsidR="007E28C9" w:rsidRPr="007E28C9" w:rsidRDefault="007E28C9" w:rsidP="007E28C9">
      <w:pPr>
        <w:rPr>
          <w:rFonts w:ascii="Cambria" w:hAnsi="Cambria"/>
          <w:sz w:val="22"/>
          <w:szCs w:val="22"/>
        </w:rPr>
      </w:pPr>
      <w:r w:rsidRPr="007E28C9">
        <w:rPr>
          <w:rFonts w:ascii="Calibri" w:hAnsi="Calibri"/>
          <w:b/>
          <w:color w:val="48B49F"/>
          <w:sz w:val="26"/>
          <w:szCs w:val="26"/>
        </w:rPr>
        <w:t>Student Objectives:</w:t>
      </w:r>
      <w:r w:rsidRPr="007A61FA">
        <w:rPr>
          <w:rFonts w:ascii="Cambria" w:hAnsi="Cambria"/>
        </w:rPr>
        <w:t xml:space="preserve"> </w:t>
      </w:r>
      <w:r w:rsidRPr="007E28C9">
        <w:rPr>
          <w:rFonts w:ascii="Cambria" w:hAnsi="Cambria"/>
          <w:sz w:val="22"/>
          <w:szCs w:val="22"/>
        </w:rPr>
        <w:t xml:space="preserve">Students will … </w:t>
      </w:r>
    </w:p>
    <w:p w14:paraId="44191CD6" w14:textId="77777777" w:rsidR="007E28C9" w:rsidRPr="007E28C9" w:rsidRDefault="007E28C9" w:rsidP="007E28C9">
      <w:pPr>
        <w:numPr>
          <w:ilvl w:val="0"/>
          <w:numId w:val="24"/>
        </w:numPr>
        <w:rPr>
          <w:rFonts w:ascii="Cambria" w:hAnsi="Cambria"/>
          <w:sz w:val="22"/>
          <w:szCs w:val="22"/>
        </w:rPr>
      </w:pPr>
      <w:r w:rsidRPr="007E28C9">
        <w:rPr>
          <w:rFonts w:ascii="Cambria" w:hAnsi="Cambria"/>
          <w:sz w:val="22"/>
          <w:szCs w:val="22"/>
        </w:rPr>
        <w:t>Understand the biological process of sun exposure to skin and how the body deals with UV light</w:t>
      </w:r>
    </w:p>
    <w:p w14:paraId="12741A35" w14:textId="77777777" w:rsidR="007E28C9" w:rsidRPr="007E28C9" w:rsidRDefault="007E28C9" w:rsidP="007E28C9">
      <w:pPr>
        <w:numPr>
          <w:ilvl w:val="0"/>
          <w:numId w:val="24"/>
        </w:numPr>
        <w:rPr>
          <w:rFonts w:ascii="Cambria" w:hAnsi="Cambria"/>
          <w:sz w:val="22"/>
          <w:szCs w:val="22"/>
        </w:rPr>
      </w:pPr>
      <w:r w:rsidRPr="007E28C9">
        <w:rPr>
          <w:rFonts w:ascii="Cambria" w:hAnsi="Cambria"/>
          <w:sz w:val="22"/>
          <w:szCs w:val="22"/>
        </w:rPr>
        <w:t>Understand how chemists have used this process in nature to develop a chemical process which solves a societal problem</w:t>
      </w:r>
    </w:p>
    <w:p w14:paraId="0B1E1C47" w14:textId="77777777" w:rsidR="007E28C9" w:rsidRPr="007E28C9" w:rsidRDefault="007E28C9" w:rsidP="007E28C9">
      <w:pPr>
        <w:numPr>
          <w:ilvl w:val="0"/>
          <w:numId w:val="24"/>
        </w:numPr>
        <w:rPr>
          <w:rFonts w:ascii="Cambria" w:hAnsi="Cambria"/>
          <w:color w:val="000000"/>
          <w:sz w:val="22"/>
          <w:szCs w:val="22"/>
        </w:rPr>
      </w:pPr>
      <w:r w:rsidRPr="007E28C9">
        <w:rPr>
          <w:rFonts w:ascii="Cambria" w:hAnsi="Cambria"/>
          <w:sz w:val="22"/>
          <w:szCs w:val="22"/>
        </w:rPr>
        <w:t>Engage in an experiment which illustrates the uses of this green chemistry technology</w:t>
      </w:r>
    </w:p>
    <w:p w14:paraId="1D2F8C0A" w14:textId="77777777" w:rsidR="007E28C9" w:rsidRPr="007E28C9" w:rsidRDefault="007E28C9" w:rsidP="007E28C9">
      <w:pPr>
        <w:rPr>
          <w:rFonts w:ascii="Cambria" w:hAnsi="Cambria"/>
          <w:b/>
          <w:sz w:val="22"/>
          <w:szCs w:val="22"/>
        </w:rPr>
      </w:pPr>
    </w:p>
    <w:p w14:paraId="441C109B" w14:textId="77777777" w:rsidR="007E28C9" w:rsidRPr="007E28C9" w:rsidRDefault="007E28C9" w:rsidP="007E28C9">
      <w:pPr>
        <w:rPr>
          <w:rFonts w:ascii="Calibri" w:hAnsi="Calibri"/>
          <w:b/>
          <w:color w:val="48B49F"/>
          <w:sz w:val="26"/>
          <w:szCs w:val="26"/>
        </w:rPr>
      </w:pPr>
      <w:r w:rsidRPr="007E28C9">
        <w:rPr>
          <w:rFonts w:ascii="Calibri" w:hAnsi="Calibri"/>
          <w:b/>
          <w:color w:val="48B49F"/>
          <w:sz w:val="26"/>
          <w:szCs w:val="26"/>
        </w:rPr>
        <w:t>Materials:(per lab group)</w:t>
      </w:r>
    </w:p>
    <w:p w14:paraId="03B5F443" w14:textId="77777777" w:rsidR="007E28C9" w:rsidRPr="007A61FA" w:rsidRDefault="007E28C9" w:rsidP="007E28C9">
      <w:pPr>
        <w:numPr>
          <w:ilvl w:val="0"/>
          <w:numId w:val="25"/>
        </w:numPr>
        <w:rPr>
          <w:rFonts w:ascii="Cambria" w:hAnsi="Cambria"/>
        </w:rPr>
        <w:sectPr w:rsidR="007E28C9" w:rsidRPr="007A61FA" w:rsidSect="00BE600B">
          <w:headerReference w:type="even" r:id="rId10"/>
          <w:headerReference w:type="default" r:id="rId11"/>
          <w:footerReference w:type="even" r:id="rId12"/>
          <w:footerReference w:type="default" r:id="rId13"/>
          <w:headerReference w:type="first" r:id="rId14"/>
          <w:footerReference w:type="first" r:id="rId15"/>
          <w:pgSz w:w="12240" w:h="15840"/>
          <w:pgMar w:top="907" w:right="1800" w:bottom="1440" w:left="1080" w:header="720" w:footer="288" w:gutter="0"/>
          <w:cols w:space="720"/>
          <w:docGrid w:linePitch="360"/>
        </w:sectPr>
      </w:pPr>
    </w:p>
    <w:p w14:paraId="76685BAB"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Thymine copolymer (1:4 VBT/VBEA) ONLY CURRENTLY AVAILABLE FROM Beyond Benign</w:t>
      </w:r>
    </w:p>
    <w:p w14:paraId="1C91AB34"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1 pipette</w:t>
      </w:r>
    </w:p>
    <w:p w14:paraId="1B61BBF1"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1 sheet of transparency film</w:t>
      </w:r>
    </w:p>
    <w:p w14:paraId="0F73BC0F"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1 coating rod (can also be a glass pipette or plastic tube)</w:t>
      </w:r>
    </w:p>
    <w:p w14:paraId="66024511"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Food dye (liquid or powder)</w:t>
      </w:r>
    </w:p>
    <w:p w14:paraId="0020912B"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1 piece of construction paper</w:t>
      </w:r>
    </w:p>
    <w:p w14:paraId="7C6DD8FD"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Scissors and hole punchers (for designing the mask)</w:t>
      </w:r>
    </w:p>
    <w:p w14:paraId="1D2A4EDC"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1 paper towel</w:t>
      </w:r>
    </w:p>
    <w:p w14:paraId="7B2013D4"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UV light</w:t>
      </w:r>
    </w:p>
    <w:p w14:paraId="18A597EA"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Tape</w:t>
      </w:r>
    </w:p>
    <w:p w14:paraId="23C1B511"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 xml:space="preserve">An old computer </w:t>
      </w:r>
      <w:proofErr w:type="gramStart"/>
      <w:r w:rsidRPr="007E28C9">
        <w:rPr>
          <w:rFonts w:ascii="Cambria" w:hAnsi="Cambria"/>
          <w:sz w:val="22"/>
          <w:szCs w:val="22"/>
        </w:rPr>
        <w:t>keyboard</w:t>
      </w:r>
      <w:proofErr w:type="gramEnd"/>
    </w:p>
    <w:p w14:paraId="594C0479" w14:textId="77777777" w:rsidR="007E28C9" w:rsidRPr="007A61FA" w:rsidRDefault="007E28C9" w:rsidP="007E28C9">
      <w:pPr>
        <w:rPr>
          <w:rFonts w:ascii="Cambria" w:hAnsi="Cambria"/>
        </w:rPr>
        <w:sectPr w:rsidR="007E28C9" w:rsidRPr="007A61FA" w:rsidSect="00515DA2">
          <w:type w:val="continuous"/>
          <w:pgSz w:w="12240" w:h="15840"/>
          <w:pgMar w:top="1440" w:right="1440" w:bottom="1440" w:left="1440" w:header="720" w:footer="720" w:gutter="0"/>
          <w:cols w:num="2" w:space="720"/>
          <w:docGrid w:linePitch="360"/>
        </w:sectPr>
      </w:pPr>
    </w:p>
    <w:p w14:paraId="545471BE" w14:textId="77777777" w:rsidR="007E28C9" w:rsidRPr="007A61FA" w:rsidRDefault="007E28C9" w:rsidP="007E28C9">
      <w:pPr>
        <w:rPr>
          <w:rFonts w:ascii="Cambria" w:hAnsi="Cambria"/>
        </w:rPr>
      </w:pPr>
    </w:p>
    <w:p w14:paraId="469C736B" w14:textId="77777777" w:rsidR="007E28C9" w:rsidRPr="007E28C9" w:rsidRDefault="007E28C9" w:rsidP="007E28C9">
      <w:pPr>
        <w:rPr>
          <w:rFonts w:ascii="Cambria" w:hAnsi="Cambria"/>
          <w:b/>
          <w:color w:val="FF6600"/>
          <w:sz w:val="22"/>
          <w:szCs w:val="22"/>
        </w:rPr>
      </w:pPr>
      <w:r w:rsidRPr="007E28C9">
        <w:rPr>
          <w:rFonts w:ascii="Calibri" w:hAnsi="Calibri"/>
          <w:b/>
          <w:color w:val="48B49F"/>
          <w:sz w:val="26"/>
          <w:szCs w:val="26"/>
        </w:rPr>
        <w:t>Time Required</w:t>
      </w:r>
      <w:r w:rsidRPr="007E28C9">
        <w:rPr>
          <w:rFonts w:ascii="Cambria" w:hAnsi="Cambria"/>
          <w:b/>
          <w:color w:val="48B49F"/>
          <w:sz w:val="22"/>
          <w:szCs w:val="22"/>
        </w:rPr>
        <w:t>:</w:t>
      </w:r>
      <w:r w:rsidRPr="007E28C9">
        <w:rPr>
          <w:rFonts w:ascii="Cambria" w:hAnsi="Cambria"/>
          <w:b/>
          <w:sz w:val="22"/>
          <w:szCs w:val="22"/>
        </w:rPr>
        <w:t xml:space="preserve">  </w:t>
      </w:r>
      <w:r w:rsidRPr="007E28C9">
        <w:rPr>
          <w:rFonts w:ascii="Cambria" w:hAnsi="Cambria"/>
          <w:sz w:val="22"/>
          <w:szCs w:val="22"/>
        </w:rPr>
        <w:t>45-60-minute class period</w:t>
      </w:r>
    </w:p>
    <w:p w14:paraId="7B04B133" w14:textId="77777777" w:rsidR="007E28C9" w:rsidRPr="007A61FA" w:rsidRDefault="007E28C9" w:rsidP="007E28C9">
      <w:pPr>
        <w:ind w:left="360"/>
        <w:rPr>
          <w:rFonts w:ascii="Cambria" w:hAnsi="Cambria"/>
        </w:rPr>
      </w:pPr>
    </w:p>
    <w:p w14:paraId="7E0EEFDA" w14:textId="102B2C33" w:rsidR="007E28C9" w:rsidRPr="007E28C9" w:rsidRDefault="002A2BF6" w:rsidP="007E28C9">
      <w:pPr>
        <w:rPr>
          <w:rFonts w:ascii="Cambria" w:hAnsi="Cambria"/>
          <w:sz w:val="22"/>
          <w:szCs w:val="22"/>
        </w:rPr>
      </w:pPr>
      <w:r>
        <w:rPr>
          <w:rFonts w:ascii="Calibri" w:hAnsi="Calibri"/>
          <w:b/>
          <w:color w:val="48B49F"/>
          <w:sz w:val="26"/>
          <w:szCs w:val="26"/>
        </w:rPr>
        <w:t xml:space="preserve">NGSS </w:t>
      </w:r>
      <w:r w:rsidR="007E28C9" w:rsidRPr="007E28C9">
        <w:rPr>
          <w:rFonts w:ascii="Calibri" w:hAnsi="Calibri"/>
          <w:b/>
          <w:color w:val="48B49F"/>
          <w:sz w:val="26"/>
          <w:szCs w:val="26"/>
        </w:rPr>
        <w:t>Standards Met:</w:t>
      </w:r>
      <w:r w:rsidR="007E28C9" w:rsidRPr="007E28C9">
        <w:rPr>
          <w:rFonts w:ascii="Cambria" w:hAnsi="Cambria"/>
          <w:sz w:val="22"/>
          <w:szCs w:val="22"/>
        </w:rPr>
        <w:t xml:space="preserve"> </w:t>
      </w:r>
    </w:p>
    <w:p w14:paraId="500BFC11" w14:textId="77777777" w:rsidR="002A2BF6" w:rsidRPr="00410324" w:rsidRDefault="002A2BF6" w:rsidP="002A2BF6">
      <w:pPr>
        <w:pStyle w:val="ListParagraph"/>
        <w:numPr>
          <w:ilvl w:val="0"/>
          <w:numId w:val="33"/>
        </w:numPr>
        <w:rPr>
          <w:rFonts w:ascii="Cambria" w:hAnsi="Cambria"/>
          <w:sz w:val="22"/>
          <w:szCs w:val="22"/>
        </w:rPr>
      </w:pPr>
      <w:r w:rsidRPr="00410324">
        <w:rPr>
          <w:rFonts w:ascii="Cambria" w:hAnsi="Cambria"/>
          <w:b/>
          <w:bCs/>
          <w:sz w:val="22"/>
          <w:szCs w:val="22"/>
        </w:rPr>
        <w:t>HS-PS3-4.</w:t>
      </w:r>
      <w:r w:rsidRPr="00410324">
        <w:rPr>
          <w:rFonts w:ascii="Cambria" w:hAnsi="Cambria"/>
          <w:sz w:val="22"/>
          <w:szCs w:val="22"/>
        </w:rPr>
        <w:t xml:space="preserve"> Plan and </w:t>
      </w:r>
      <w:proofErr w:type="gramStart"/>
      <w:r w:rsidRPr="00410324">
        <w:rPr>
          <w:rFonts w:ascii="Cambria" w:hAnsi="Cambria"/>
          <w:sz w:val="22"/>
          <w:szCs w:val="22"/>
        </w:rPr>
        <w:t>conduct an investigation</w:t>
      </w:r>
      <w:proofErr w:type="gramEnd"/>
      <w:r w:rsidRPr="00410324">
        <w:rPr>
          <w:rFonts w:ascii="Cambria" w:hAnsi="Cambria"/>
          <w:sz w:val="22"/>
          <w:szCs w:val="22"/>
        </w:rPr>
        <w:t xml:space="preserve"> to provide evidence that the transfer of thermal energy when two components of different temperature are combined within a closed system results in a more uniform energy distribution among the components in the system (second law of thermodynamics). </w:t>
      </w:r>
    </w:p>
    <w:p w14:paraId="76D20A97" w14:textId="77777777" w:rsidR="002A2BF6" w:rsidRPr="00410324" w:rsidRDefault="002A2BF6" w:rsidP="002A2BF6">
      <w:pPr>
        <w:pStyle w:val="ListParagraph"/>
        <w:numPr>
          <w:ilvl w:val="0"/>
          <w:numId w:val="33"/>
        </w:numPr>
        <w:rPr>
          <w:rFonts w:ascii="Cambria" w:hAnsi="Cambria"/>
          <w:sz w:val="22"/>
          <w:szCs w:val="22"/>
        </w:rPr>
      </w:pPr>
      <w:r w:rsidRPr="00410324">
        <w:rPr>
          <w:rFonts w:ascii="Cambria" w:hAnsi="Cambria"/>
          <w:b/>
          <w:bCs/>
          <w:sz w:val="22"/>
          <w:szCs w:val="22"/>
        </w:rPr>
        <w:t>HS-PS4-4.</w:t>
      </w:r>
      <w:r w:rsidRPr="00410324">
        <w:rPr>
          <w:rFonts w:ascii="Cambria" w:hAnsi="Cambria"/>
          <w:sz w:val="22"/>
          <w:szCs w:val="22"/>
        </w:rPr>
        <w:t xml:space="preserve"> Evaluate the validity and reliability of claims in published materials of the effects that different frequencies of electromagnetic radiation have when absorbed by matter</w:t>
      </w:r>
      <w:r>
        <w:rPr>
          <w:rFonts w:ascii="Cambria" w:hAnsi="Cambria"/>
          <w:sz w:val="22"/>
          <w:szCs w:val="22"/>
        </w:rPr>
        <w:t>.</w:t>
      </w:r>
    </w:p>
    <w:p w14:paraId="14B1D040" w14:textId="77777777" w:rsidR="007E28C9" w:rsidRPr="002A2BF6" w:rsidRDefault="007E28C9" w:rsidP="007E28C9">
      <w:pPr>
        <w:rPr>
          <w:rFonts w:ascii="Cambria" w:hAnsi="Cambria"/>
          <w:lang w:val="en-US"/>
        </w:rPr>
      </w:pPr>
    </w:p>
    <w:p w14:paraId="048EEAD7" w14:textId="77777777" w:rsidR="007E28C9" w:rsidRPr="007E28C9" w:rsidRDefault="007E28C9" w:rsidP="007E28C9">
      <w:pPr>
        <w:rPr>
          <w:rFonts w:ascii="Cambria" w:hAnsi="Cambria"/>
          <w:sz w:val="22"/>
          <w:szCs w:val="22"/>
        </w:rPr>
      </w:pPr>
      <w:r w:rsidRPr="007E28C9">
        <w:rPr>
          <w:rFonts w:ascii="Calibri" w:hAnsi="Calibri"/>
          <w:b/>
          <w:color w:val="48B49F"/>
          <w:sz w:val="26"/>
          <w:szCs w:val="26"/>
        </w:rPr>
        <w:lastRenderedPageBreak/>
        <w:t>Key Terms</w:t>
      </w:r>
      <w:r w:rsidRPr="007E28C9">
        <w:rPr>
          <w:rFonts w:ascii="Calibri" w:hAnsi="Calibri"/>
          <w:color w:val="48B49F"/>
          <w:sz w:val="26"/>
          <w:szCs w:val="26"/>
        </w:rPr>
        <w:t>:</w:t>
      </w:r>
      <w:r w:rsidRPr="007A61FA">
        <w:rPr>
          <w:rFonts w:ascii="Cambria" w:hAnsi="Cambria"/>
        </w:rPr>
        <w:t xml:space="preserve"> </w:t>
      </w:r>
      <w:r w:rsidRPr="007E28C9">
        <w:rPr>
          <w:rFonts w:ascii="Cambria" w:hAnsi="Cambria"/>
          <w:sz w:val="22"/>
          <w:szCs w:val="22"/>
        </w:rPr>
        <w:t xml:space="preserve">e-waste; </w:t>
      </w:r>
      <w:proofErr w:type="gramStart"/>
      <w:r w:rsidRPr="007E28C9">
        <w:rPr>
          <w:rFonts w:ascii="Cambria" w:hAnsi="Cambria"/>
          <w:sz w:val="22"/>
          <w:szCs w:val="22"/>
        </w:rPr>
        <w:t>new  polymer</w:t>
      </w:r>
      <w:proofErr w:type="gramEnd"/>
      <w:r w:rsidRPr="007E28C9">
        <w:rPr>
          <w:rFonts w:ascii="Cambria" w:hAnsi="Cambria"/>
          <w:sz w:val="22"/>
          <w:szCs w:val="22"/>
        </w:rPr>
        <w:t xml:space="preserve"> (VBT), biomimicry</w:t>
      </w:r>
    </w:p>
    <w:p w14:paraId="79D3E76F" w14:textId="77777777" w:rsidR="007E28C9" w:rsidRPr="007A61FA" w:rsidRDefault="007E28C9" w:rsidP="007E28C9">
      <w:pPr>
        <w:rPr>
          <w:rFonts w:ascii="Cambria" w:hAnsi="Cambria"/>
          <w:b/>
        </w:rPr>
      </w:pPr>
    </w:p>
    <w:p w14:paraId="51628968" w14:textId="77777777" w:rsidR="007E28C9" w:rsidRPr="007E28C9" w:rsidRDefault="007E28C9" w:rsidP="007E28C9">
      <w:pPr>
        <w:rPr>
          <w:rFonts w:ascii="Calibri" w:hAnsi="Calibri"/>
          <w:b/>
          <w:color w:val="48B49F"/>
          <w:sz w:val="26"/>
          <w:szCs w:val="26"/>
        </w:rPr>
      </w:pPr>
      <w:r w:rsidRPr="007E28C9">
        <w:rPr>
          <w:rFonts w:ascii="Calibri" w:hAnsi="Calibri"/>
          <w:b/>
          <w:color w:val="48B49F"/>
          <w:sz w:val="26"/>
          <w:szCs w:val="26"/>
        </w:rPr>
        <w:t xml:space="preserve">Teacher Prep: </w:t>
      </w:r>
    </w:p>
    <w:p w14:paraId="4C3E2CD4" w14:textId="77777777" w:rsidR="007E28C9" w:rsidRPr="007E28C9" w:rsidRDefault="007E28C9" w:rsidP="007E28C9">
      <w:pPr>
        <w:pStyle w:val="ListParagraph"/>
        <w:numPr>
          <w:ilvl w:val="0"/>
          <w:numId w:val="29"/>
        </w:numPr>
        <w:rPr>
          <w:rFonts w:ascii="Cambria" w:hAnsi="Cambria"/>
          <w:sz w:val="22"/>
          <w:szCs w:val="22"/>
        </w:rPr>
      </w:pPr>
      <w:r w:rsidRPr="007E28C9">
        <w:rPr>
          <w:rFonts w:ascii="Cambria" w:hAnsi="Cambria"/>
          <w:sz w:val="22"/>
          <w:szCs w:val="22"/>
        </w:rPr>
        <w:t>Reading the background information provided.</w:t>
      </w:r>
    </w:p>
    <w:p w14:paraId="084A96E3" w14:textId="77777777" w:rsidR="007E28C9" w:rsidRPr="007E28C9" w:rsidRDefault="007E28C9" w:rsidP="007E28C9">
      <w:pPr>
        <w:pStyle w:val="ListParagraph"/>
        <w:numPr>
          <w:ilvl w:val="0"/>
          <w:numId w:val="29"/>
        </w:numPr>
        <w:rPr>
          <w:rFonts w:ascii="Cambria" w:hAnsi="Cambria"/>
          <w:sz w:val="22"/>
          <w:szCs w:val="22"/>
        </w:rPr>
      </w:pPr>
      <w:r w:rsidRPr="007E28C9">
        <w:rPr>
          <w:rFonts w:ascii="Cambria" w:hAnsi="Cambria"/>
          <w:sz w:val="22"/>
          <w:szCs w:val="22"/>
        </w:rPr>
        <w:t>Take apart an old computer keyboard until you get to the part that where the circuit is located. It should look like this:</w:t>
      </w:r>
    </w:p>
    <w:p w14:paraId="308B3C16" w14:textId="77777777" w:rsidR="007E28C9" w:rsidRPr="007A61FA" w:rsidRDefault="007E28C9" w:rsidP="007E28C9">
      <w:pPr>
        <w:rPr>
          <w:rFonts w:ascii="Cambria" w:hAnsi="Cambria"/>
          <w:b/>
        </w:rPr>
      </w:pPr>
    </w:p>
    <w:p w14:paraId="688CE59E" w14:textId="77777777" w:rsidR="007E28C9" w:rsidRPr="007A61FA" w:rsidRDefault="007E28C9" w:rsidP="007E28C9">
      <w:pPr>
        <w:rPr>
          <w:rFonts w:ascii="Cambria" w:hAnsi="Cambria"/>
          <w:b/>
        </w:rPr>
      </w:pPr>
      <w:r w:rsidRPr="007A61FA">
        <w:rPr>
          <w:rFonts w:ascii="Cambria" w:hAnsi="Cambria"/>
          <w:b/>
          <w:noProof/>
          <w:lang w:val="en-US"/>
        </w:rPr>
        <w:drawing>
          <wp:anchor distT="0" distB="0" distL="114300" distR="114300" simplePos="0" relativeHeight="251665408" behindDoc="1" locked="0" layoutInCell="1" allowOverlap="1" wp14:anchorId="59DA62D8" wp14:editId="2A0EEDA9">
            <wp:simplePos x="0" y="0"/>
            <wp:positionH relativeFrom="column">
              <wp:posOffset>274955</wp:posOffset>
            </wp:positionH>
            <wp:positionV relativeFrom="paragraph">
              <wp:posOffset>136525</wp:posOffset>
            </wp:positionV>
            <wp:extent cx="3474720" cy="2251710"/>
            <wp:effectExtent l="0" t="0" r="5080" b="8890"/>
            <wp:wrapThrough wrapText="bothSides">
              <wp:wrapPolygon edited="0">
                <wp:start x="0" y="0"/>
                <wp:lineTo x="0" y="21442"/>
                <wp:lineTo x="21474" y="21442"/>
                <wp:lineTo x="21474" y="0"/>
                <wp:lineTo x="0" y="0"/>
              </wp:wrapPolygon>
            </wp:wrapThrough>
            <wp:docPr id="39" name="Picture 39" descr="http://www.zimmers.net/anonftp/pub/cbm/documents/projects/interfaces/mouse/Filez/P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immers.net/anonftp/pub/cbm/documents/projects/interfaces/mouse/Filez/Pcb.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47472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1BF23" w14:textId="77777777" w:rsidR="007E28C9" w:rsidRPr="007A61FA" w:rsidRDefault="007E28C9" w:rsidP="007E28C9">
      <w:pPr>
        <w:rPr>
          <w:rFonts w:ascii="Cambria" w:hAnsi="Cambria"/>
          <w:b/>
        </w:rPr>
      </w:pPr>
    </w:p>
    <w:p w14:paraId="5B1E41EF" w14:textId="77777777" w:rsidR="007E28C9" w:rsidRPr="007A61FA" w:rsidRDefault="007E28C9" w:rsidP="007E28C9">
      <w:pPr>
        <w:rPr>
          <w:rFonts w:ascii="Cambria" w:hAnsi="Cambria"/>
          <w:b/>
        </w:rPr>
      </w:pPr>
    </w:p>
    <w:p w14:paraId="32D44BB6" w14:textId="77777777" w:rsidR="007E28C9" w:rsidRPr="007A61FA" w:rsidRDefault="007E28C9" w:rsidP="007E28C9">
      <w:pPr>
        <w:rPr>
          <w:rFonts w:ascii="Cambria" w:hAnsi="Cambria"/>
          <w:b/>
        </w:rPr>
      </w:pPr>
    </w:p>
    <w:p w14:paraId="15695DD6" w14:textId="77777777" w:rsidR="007E28C9" w:rsidRPr="007A61FA" w:rsidRDefault="007E28C9" w:rsidP="007E28C9">
      <w:pPr>
        <w:rPr>
          <w:rFonts w:ascii="Cambria" w:hAnsi="Cambria"/>
          <w:b/>
        </w:rPr>
      </w:pPr>
    </w:p>
    <w:p w14:paraId="0641909F" w14:textId="77777777" w:rsidR="007E28C9" w:rsidRPr="007A61FA" w:rsidRDefault="007E28C9" w:rsidP="007E28C9">
      <w:pPr>
        <w:rPr>
          <w:rFonts w:ascii="Cambria" w:hAnsi="Cambria"/>
          <w:b/>
        </w:rPr>
      </w:pPr>
    </w:p>
    <w:p w14:paraId="1C55C7E1" w14:textId="77777777" w:rsidR="007E28C9" w:rsidRPr="007A61FA" w:rsidRDefault="007E28C9" w:rsidP="007E28C9">
      <w:pPr>
        <w:rPr>
          <w:rFonts w:ascii="Cambria" w:hAnsi="Cambria"/>
          <w:b/>
        </w:rPr>
      </w:pPr>
    </w:p>
    <w:p w14:paraId="21E1CB59" w14:textId="77777777" w:rsidR="007E28C9" w:rsidRPr="007A61FA" w:rsidRDefault="007E28C9" w:rsidP="007E28C9">
      <w:pPr>
        <w:rPr>
          <w:rFonts w:ascii="Cambria" w:hAnsi="Cambria"/>
          <w:b/>
        </w:rPr>
      </w:pPr>
    </w:p>
    <w:p w14:paraId="6E42C92E" w14:textId="77777777" w:rsidR="007E28C9" w:rsidRPr="007A61FA" w:rsidRDefault="007E28C9" w:rsidP="007E28C9">
      <w:pPr>
        <w:rPr>
          <w:rFonts w:ascii="Cambria" w:hAnsi="Cambria"/>
          <w:b/>
        </w:rPr>
      </w:pPr>
    </w:p>
    <w:p w14:paraId="132CDE3A" w14:textId="77777777" w:rsidR="007E28C9" w:rsidRPr="007A61FA" w:rsidRDefault="007E28C9" w:rsidP="007E28C9">
      <w:pPr>
        <w:rPr>
          <w:rFonts w:ascii="Cambria" w:hAnsi="Cambria"/>
          <w:b/>
        </w:rPr>
      </w:pPr>
    </w:p>
    <w:p w14:paraId="3B561BEE" w14:textId="77777777" w:rsidR="007E28C9" w:rsidRPr="007A61FA" w:rsidRDefault="007E28C9" w:rsidP="007E28C9">
      <w:pPr>
        <w:rPr>
          <w:rFonts w:ascii="Cambria" w:hAnsi="Cambria"/>
          <w:b/>
        </w:rPr>
      </w:pPr>
    </w:p>
    <w:p w14:paraId="717A5086" w14:textId="77777777" w:rsidR="007E28C9" w:rsidRPr="007A61FA" w:rsidRDefault="007E28C9" w:rsidP="007E28C9">
      <w:pPr>
        <w:rPr>
          <w:rFonts w:ascii="Cambria" w:hAnsi="Cambria"/>
          <w:b/>
        </w:rPr>
      </w:pPr>
    </w:p>
    <w:p w14:paraId="7C70276D" w14:textId="77777777" w:rsidR="007E28C9" w:rsidRPr="007A61FA" w:rsidRDefault="007E28C9" w:rsidP="007E28C9">
      <w:pPr>
        <w:rPr>
          <w:rFonts w:ascii="Cambria" w:hAnsi="Cambria"/>
          <w:b/>
        </w:rPr>
      </w:pPr>
    </w:p>
    <w:p w14:paraId="75A57F73" w14:textId="77777777" w:rsidR="007E28C9" w:rsidRPr="007A61FA" w:rsidRDefault="007E28C9" w:rsidP="007E28C9">
      <w:pPr>
        <w:rPr>
          <w:rFonts w:ascii="Cambria" w:hAnsi="Cambria"/>
          <w:b/>
        </w:rPr>
      </w:pPr>
    </w:p>
    <w:p w14:paraId="69174C8C" w14:textId="77777777" w:rsidR="007E28C9" w:rsidRPr="007A61FA" w:rsidRDefault="007E28C9" w:rsidP="007E28C9">
      <w:pPr>
        <w:rPr>
          <w:rFonts w:ascii="Cambria" w:hAnsi="Cambria"/>
          <w:b/>
        </w:rPr>
      </w:pPr>
    </w:p>
    <w:p w14:paraId="77C81825" w14:textId="77777777" w:rsidR="007E28C9" w:rsidRDefault="007E28C9" w:rsidP="007E28C9">
      <w:pPr>
        <w:numPr>
          <w:ilvl w:val="0"/>
          <w:numId w:val="26"/>
        </w:numPr>
        <w:rPr>
          <w:rFonts w:ascii="Cambria" w:hAnsi="Cambria"/>
          <w:sz w:val="22"/>
          <w:szCs w:val="22"/>
        </w:rPr>
      </w:pPr>
    </w:p>
    <w:p w14:paraId="3DE074BF" w14:textId="77777777" w:rsidR="007E28C9" w:rsidRPr="007E28C9" w:rsidRDefault="007E28C9" w:rsidP="007E28C9">
      <w:pPr>
        <w:numPr>
          <w:ilvl w:val="0"/>
          <w:numId w:val="26"/>
        </w:numPr>
        <w:rPr>
          <w:rFonts w:ascii="Cambria" w:hAnsi="Cambria"/>
          <w:sz w:val="22"/>
          <w:szCs w:val="22"/>
        </w:rPr>
      </w:pPr>
      <w:r w:rsidRPr="007E28C9">
        <w:rPr>
          <w:rFonts w:ascii="Cambria" w:hAnsi="Cambria"/>
          <w:sz w:val="22"/>
          <w:szCs w:val="22"/>
        </w:rPr>
        <w:t xml:space="preserve">You will use this to show students how photoresists are used in computer technology. </w:t>
      </w:r>
    </w:p>
    <w:p w14:paraId="66EB8DB7" w14:textId="77777777" w:rsidR="007E28C9" w:rsidRPr="007E28C9" w:rsidRDefault="007E28C9" w:rsidP="007E28C9">
      <w:pPr>
        <w:numPr>
          <w:ilvl w:val="0"/>
          <w:numId w:val="26"/>
        </w:numPr>
        <w:rPr>
          <w:rFonts w:ascii="Cambria" w:hAnsi="Cambria"/>
          <w:sz w:val="22"/>
          <w:szCs w:val="22"/>
        </w:rPr>
      </w:pPr>
      <w:r w:rsidRPr="007E28C9">
        <w:rPr>
          <w:rFonts w:ascii="Cambria" w:hAnsi="Cambria"/>
          <w:sz w:val="22"/>
          <w:szCs w:val="22"/>
        </w:rPr>
        <w:t xml:space="preserve">Prepare the food </w:t>
      </w:r>
      <w:proofErr w:type="spellStart"/>
      <w:r w:rsidRPr="007E28C9">
        <w:rPr>
          <w:rFonts w:ascii="Cambria" w:hAnsi="Cambria"/>
          <w:sz w:val="22"/>
          <w:szCs w:val="22"/>
        </w:rPr>
        <w:t>coloring</w:t>
      </w:r>
      <w:proofErr w:type="spellEnd"/>
      <w:r w:rsidRPr="007E28C9">
        <w:rPr>
          <w:rFonts w:ascii="Cambria" w:hAnsi="Cambria"/>
          <w:sz w:val="22"/>
          <w:szCs w:val="22"/>
        </w:rPr>
        <w:t xml:space="preserve"> mixture and have multiple containers for the students to dip the film.</w:t>
      </w:r>
    </w:p>
    <w:p w14:paraId="75A88682" w14:textId="77777777" w:rsidR="007E28C9" w:rsidRPr="007E28C9" w:rsidRDefault="007E28C9" w:rsidP="007E28C9">
      <w:pPr>
        <w:rPr>
          <w:rFonts w:ascii="Cambria" w:hAnsi="Cambria"/>
          <w:b/>
          <w:color w:val="FF6600"/>
          <w:sz w:val="22"/>
          <w:szCs w:val="22"/>
        </w:rPr>
      </w:pPr>
    </w:p>
    <w:p w14:paraId="5D3D320B" w14:textId="77777777" w:rsidR="007E28C9" w:rsidRPr="007A61FA" w:rsidRDefault="007E28C9" w:rsidP="007E28C9">
      <w:pPr>
        <w:rPr>
          <w:rFonts w:ascii="Cambria" w:hAnsi="Cambria"/>
          <w:b/>
          <w:color w:val="FF6600"/>
        </w:rPr>
      </w:pPr>
    </w:p>
    <w:p w14:paraId="0FB5C3EA" w14:textId="77777777" w:rsidR="007E28C9" w:rsidRPr="007E28C9" w:rsidRDefault="007E28C9" w:rsidP="007E28C9">
      <w:pPr>
        <w:rPr>
          <w:rFonts w:ascii="Calibri" w:hAnsi="Calibri"/>
          <w:b/>
          <w:color w:val="48B49F"/>
          <w:sz w:val="26"/>
          <w:szCs w:val="26"/>
        </w:rPr>
      </w:pPr>
      <w:r w:rsidRPr="007E28C9">
        <w:rPr>
          <w:rFonts w:ascii="Calibri" w:hAnsi="Calibri"/>
          <w:b/>
          <w:color w:val="48B49F"/>
          <w:sz w:val="26"/>
          <w:szCs w:val="26"/>
        </w:rPr>
        <w:t xml:space="preserve">Procedure: </w:t>
      </w:r>
    </w:p>
    <w:p w14:paraId="4B299B69" w14:textId="77777777" w:rsidR="007E28C9" w:rsidRPr="007E28C9" w:rsidRDefault="007E28C9" w:rsidP="007E28C9">
      <w:pPr>
        <w:numPr>
          <w:ilvl w:val="0"/>
          <w:numId w:val="25"/>
        </w:numPr>
        <w:rPr>
          <w:rFonts w:ascii="Cambria" w:hAnsi="Cambria"/>
          <w:sz w:val="22"/>
          <w:szCs w:val="22"/>
        </w:rPr>
      </w:pPr>
      <w:r w:rsidRPr="007E28C9">
        <w:rPr>
          <w:rFonts w:ascii="Cambria" w:hAnsi="Cambria"/>
          <w:sz w:val="22"/>
          <w:szCs w:val="22"/>
        </w:rPr>
        <w:t xml:space="preserve">Pass around the circuit board and let the students </w:t>
      </w:r>
      <w:proofErr w:type="gramStart"/>
      <w:r w:rsidRPr="007E28C9">
        <w:rPr>
          <w:rFonts w:ascii="Cambria" w:hAnsi="Cambria"/>
          <w:sz w:val="22"/>
          <w:szCs w:val="22"/>
        </w:rPr>
        <w:t>take a look</w:t>
      </w:r>
      <w:proofErr w:type="gramEnd"/>
      <w:r w:rsidRPr="007E28C9">
        <w:rPr>
          <w:rFonts w:ascii="Cambria" w:hAnsi="Cambria"/>
          <w:sz w:val="22"/>
          <w:szCs w:val="22"/>
        </w:rPr>
        <w:t xml:space="preserve"> at it. </w:t>
      </w:r>
    </w:p>
    <w:p w14:paraId="163BD5DA" w14:textId="77777777" w:rsidR="007E28C9" w:rsidRPr="007E28C9" w:rsidRDefault="007E28C9" w:rsidP="007E28C9">
      <w:pPr>
        <w:numPr>
          <w:ilvl w:val="0"/>
          <w:numId w:val="27"/>
        </w:numPr>
        <w:rPr>
          <w:rFonts w:ascii="Cambria" w:hAnsi="Cambria"/>
          <w:sz w:val="22"/>
          <w:szCs w:val="22"/>
        </w:rPr>
      </w:pPr>
      <w:r w:rsidRPr="007E28C9">
        <w:rPr>
          <w:rFonts w:ascii="Cambria" w:hAnsi="Cambria"/>
          <w:sz w:val="22"/>
          <w:szCs w:val="22"/>
        </w:rPr>
        <w:t>Explain to students that chemists at the Warner Babcock Institute for Green Chemistry are currently working on a way to replace toxic monomers used in the preparation of circuit boards of electronics and replace them with a product that is based upon the concepts of biomimicry.</w:t>
      </w:r>
    </w:p>
    <w:p w14:paraId="1087C359" w14:textId="77777777" w:rsidR="007E28C9" w:rsidRPr="007E28C9" w:rsidRDefault="007E28C9" w:rsidP="007E28C9">
      <w:pPr>
        <w:numPr>
          <w:ilvl w:val="0"/>
          <w:numId w:val="27"/>
        </w:numPr>
        <w:rPr>
          <w:rFonts w:ascii="Cambria" w:hAnsi="Cambria"/>
          <w:sz w:val="22"/>
          <w:szCs w:val="22"/>
        </w:rPr>
      </w:pPr>
      <w:r w:rsidRPr="007E28C9">
        <w:rPr>
          <w:rFonts w:ascii="Cambria" w:hAnsi="Cambria"/>
          <w:sz w:val="22"/>
          <w:szCs w:val="22"/>
        </w:rPr>
        <w:t>Hand out the student lab sheet and review</w:t>
      </w:r>
    </w:p>
    <w:p w14:paraId="435DD4D2" w14:textId="77777777" w:rsidR="007E28C9" w:rsidRPr="007E28C9" w:rsidRDefault="007E28C9" w:rsidP="007E28C9">
      <w:pPr>
        <w:numPr>
          <w:ilvl w:val="0"/>
          <w:numId w:val="27"/>
        </w:numPr>
        <w:rPr>
          <w:rFonts w:ascii="Cambria" w:hAnsi="Cambria"/>
          <w:sz w:val="22"/>
          <w:szCs w:val="22"/>
        </w:rPr>
      </w:pPr>
      <w:r w:rsidRPr="007E28C9">
        <w:rPr>
          <w:rFonts w:ascii="Cambria" w:hAnsi="Cambria"/>
          <w:sz w:val="22"/>
          <w:szCs w:val="22"/>
        </w:rPr>
        <w:t xml:space="preserve">After all students are finished, discuss the concept of e-waste and the problems of worker exposure regarding the manufacture and dumping of electronics in the developing world. You may use the following YouTube and </w:t>
      </w:r>
      <w:proofErr w:type="spellStart"/>
      <w:r w:rsidRPr="007E28C9">
        <w:rPr>
          <w:rFonts w:ascii="Cambria" w:hAnsi="Cambria"/>
          <w:sz w:val="22"/>
          <w:szCs w:val="22"/>
        </w:rPr>
        <w:t>Teachertube</w:t>
      </w:r>
      <w:proofErr w:type="spellEnd"/>
      <w:r w:rsidRPr="007E28C9">
        <w:rPr>
          <w:rFonts w:ascii="Cambria" w:hAnsi="Cambria"/>
          <w:sz w:val="22"/>
          <w:szCs w:val="22"/>
        </w:rPr>
        <w:t xml:space="preserve"> videos to spark conversation on this issue.</w:t>
      </w:r>
    </w:p>
    <w:p w14:paraId="01BA4B91" w14:textId="77777777" w:rsidR="007E28C9" w:rsidRPr="007A61FA" w:rsidRDefault="007E28C9" w:rsidP="007E28C9">
      <w:pPr>
        <w:rPr>
          <w:rFonts w:ascii="Cambria" w:hAnsi="Cambria"/>
        </w:rPr>
      </w:pPr>
    </w:p>
    <w:p w14:paraId="62F1B3E5" w14:textId="77777777" w:rsidR="007E28C9" w:rsidRPr="007E28C9" w:rsidRDefault="0081041F" w:rsidP="007E28C9">
      <w:pPr>
        <w:rPr>
          <w:rFonts w:ascii="Cambria" w:hAnsi="Cambria"/>
          <w:sz w:val="22"/>
          <w:szCs w:val="22"/>
        </w:rPr>
      </w:pPr>
      <w:hyperlink r:id="rId18" w:history="1">
        <w:r w:rsidR="007E28C9" w:rsidRPr="007E28C9">
          <w:rPr>
            <w:rStyle w:val="Hyperlink"/>
            <w:rFonts w:ascii="Cambria" w:hAnsi="Cambria"/>
            <w:sz w:val="22"/>
            <w:szCs w:val="22"/>
          </w:rPr>
          <w:t>http://www.youtube.com/watch?v=sl2j83LCHss</w:t>
        </w:r>
      </w:hyperlink>
    </w:p>
    <w:p w14:paraId="6D8F3733" w14:textId="77777777" w:rsidR="007E28C9" w:rsidRPr="007E28C9" w:rsidRDefault="007E28C9" w:rsidP="007E28C9">
      <w:pPr>
        <w:ind w:left="720"/>
        <w:rPr>
          <w:rFonts w:ascii="Cambria" w:hAnsi="Cambria"/>
          <w:sz w:val="22"/>
          <w:szCs w:val="22"/>
        </w:rPr>
      </w:pPr>
    </w:p>
    <w:p w14:paraId="2A459CA9" w14:textId="77777777" w:rsidR="007E28C9" w:rsidRPr="007E28C9" w:rsidRDefault="0081041F" w:rsidP="007E28C9">
      <w:pPr>
        <w:jc w:val="both"/>
        <w:rPr>
          <w:rFonts w:ascii="Cambria" w:hAnsi="Cambria"/>
          <w:sz w:val="22"/>
          <w:szCs w:val="22"/>
        </w:rPr>
      </w:pPr>
      <w:hyperlink r:id="rId19" w:history="1">
        <w:r w:rsidR="007E28C9" w:rsidRPr="007E28C9">
          <w:rPr>
            <w:rStyle w:val="Hyperlink"/>
            <w:rFonts w:ascii="Cambria" w:hAnsi="Cambria"/>
            <w:sz w:val="22"/>
            <w:szCs w:val="22"/>
          </w:rPr>
          <w:t>http://www.youtube.com/watch?v=0JZey9GJQP0</w:t>
        </w:r>
      </w:hyperlink>
    </w:p>
    <w:p w14:paraId="4B97C00F" w14:textId="77777777" w:rsidR="007E28C9" w:rsidRPr="007E28C9" w:rsidRDefault="007E28C9" w:rsidP="007E28C9">
      <w:pPr>
        <w:jc w:val="both"/>
        <w:rPr>
          <w:rFonts w:ascii="Cambria" w:hAnsi="Cambria"/>
          <w:sz w:val="22"/>
          <w:szCs w:val="22"/>
        </w:rPr>
      </w:pPr>
    </w:p>
    <w:p w14:paraId="17AFCFED" w14:textId="77777777" w:rsidR="007E28C9" w:rsidRPr="007E28C9" w:rsidRDefault="0081041F" w:rsidP="007E28C9">
      <w:pPr>
        <w:jc w:val="both"/>
        <w:rPr>
          <w:rFonts w:ascii="Cambria" w:hAnsi="Cambria"/>
          <w:sz w:val="22"/>
          <w:szCs w:val="22"/>
        </w:rPr>
      </w:pPr>
      <w:hyperlink r:id="rId20" w:history="1">
        <w:r w:rsidR="007E28C9" w:rsidRPr="007E28C9">
          <w:rPr>
            <w:rStyle w:val="Hyperlink"/>
            <w:rFonts w:ascii="Cambria" w:hAnsi="Cambria"/>
            <w:sz w:val="22"/>
            <w:szCs w:val="22"/>
          </w:rPr>
          <w:t>http://www.teachertube.com/viewVideo.php?video_id=106619&amp;title=WR3A___Fair_Trade_Recycling&amp;vpkey</w:t>
        </w:r>
      </w:hyperlink>
      <w:r w:rsidR="007E28C9" w:rsidRPr="007E28C9">
        <w:rPr>
          <w:rFonts w:ascii="Cambria" w:hAnsi="Cambria"/>
          <w:sz w:val="22"/>
          <w:szCs w:val="22"/>
        </w:rPr>
        <w:t>=</w:t>
      </w:r>
    </w:p>
    <w:p w14:paraId="4EC86DB8" w14:textId="77777777" w:rsidR="007E28C9" w:rsidRPr="007A61FA" w:rsidRDefault="007E28C9" w:rsidP="007E28C9">
      <w:pPr>
        <w:rPr>
          <w:rFonts w:ascii="Cambria" w:hAnsi="Cambria"/>
        </w:rPr>
      </w:pPr>
    </w:p>
    <w:p w14:paraId="7A2615A4" w14:textId="77777777" w:rsidR="007E28C9" w:rsidRPr="007E28C9" w:rsidRDefault="007E28C9" w:rsidP="007E28C9">
      <w:pPr>
        <w:rPr>
          <w:rFonts w:ascii="Cambria" w:hAnsi="Cambria"/>
          <w:sz w:val="22"/>
          <w:szCs w:val="22"/>
        </w:rPr>
      </w:pPr>
      <w:r w:rsidRPr="007E28C9">
        <w:rPr>
          <w:rFonts w:ascii="Calibri" w:hAnsi="Calibri"/>
          <w:b/>
          <w:color w:val="48B49F"/>
          <w:sz w:val="26"/>
          <w:szCs w:val="26"/>
        </w:rPr>
        <w:t>Disposal Information:</w:t>
      </w:r>
      <w:r w:rsidRPr="007A61FA">
        <w:rPr>
          <w:rFonts w:ascii="Cambria" w:hAnsi="Cambria"/>
          <w:b/>
        </w:rPr>
        <w:t xml:space="preserve"> </w:t>
      </w:r>
      <w:r w:rsidRPr="007E28C9">
        <w:rPr>
          <w:rFonts w:ascii="Cambria" w:hAnsi="Cambria"/>
          <w:sz w:val="22"/>
          <w:szCs w:val="22"/>
        </w:rPr>
        <w:t>All materials used may put in the trash. Clean up with water.</w:t>
      </w:r>
    </w:p>
    <w:p w14:paraId="221920B4" w14:textId="77777777" w:rsidR="007E28C9" w:rsidRPr="007A61FA" w:rsidRDefault="007E28C9" w:rsidP="007E28C9">
      <w:pPr>
        <w:rPr>
          <w:rFonts w:ascii="Cambria" w:hAnsi="Cambria"/>
          <w:b/>
        </w:rPr>
      </w:pPr>
    </w:p>
    <w:p w14:paraId="39085110" w14:textId="77777777" w:rsidR="007E28C9" w:rsidRPr="007E28C9" w:rsidRDefault="007E28C9" w:rsidP="007E28C9">
      <w:pPr>
        <w:rPr>
          <w:rFonts w:ascii="Cambria" w:hAnsi="Cambria"/>
          <w:b/>
          <w:noProof/>
          <w:sz w:val="22"/>
          <w:szCs w:val="22"/>
        </w:rPr>
      </w:pPr>
    </w:p>
    <w:p w14:paraId="0F1AAB15" w14:textId="77777777" w:rsidR="007E28C9" w:rsidRDefault="007E28C9" w:rsidP="007E28C9">
      <w:pPr>
        <w:rPr>
          <w:rFonts w:ascii="Cambria" w:hAnsi="Cambria"/>
          <w:b/>
          <w:noProof/>
        </w:rPr>
      </w:pPr>
    </w:p>
    <w:p w14:paraId="0D21F70F" w14:textId="77777777" w:rsidR="007E28C9" w:rsidRDefault="007E28C9" w:rsidP="007E28C9">
      <w:pPr>
        <w:rPr>
          <w:rFonts w:ascii="Cambria" w:hAnsi="Cambria"/>
          <w:b/>
          <w:noProof/>
        </w:rPr>
      </w:pPr>
    </w:p>
    <w:p w14:paraId="6B0FB74A" w14:textId="77777777" w:rsidR="007E28C9" w:rsidRDefault="007E28C9" w:rsidP="007E28C9">
      <w:pPr>
        <w:rPr>
          <w:rFonts w:ascii="Cambria" w:hAnsi="Cambria"/>
          <w:b/>
          <w:noProof/>
        </w:rPr>
      </w:pPr>
    </w:p>
    <w:p w14:paraId="54F77E9A" w14:textId="77777777" w:rsidR="007E28C9" w:rsidRDefault="007E28C9" w:rsidP="007E28C9">
      <w:pPr>
        <w:rPr>
          <w:rFonts w:ascii="Cambria" w:hAnsi="Cambria"/>
          <w:b/>
          <w:noProof/>
        </w:rPr>
      </w:pPr>
    </w:p>
    <w:p w14:paraId="31484210" w14:textId="77777777" w:rsidR="007E28C9" w:rsidRDefault="007E28C9" w:rsidP="007E28C9">
      <w:pPr>
        <w:rPr>
          <w:rFonts w:ascii="Cambria" w:hAnsi="Cambria"/>
          <w:b/>
          <w:noProof/>
        </w:rPr>
      </w:pPr>
    </w:p>
    <w:p w14:paraId="23A78A9E" w14:textId="3C1B20DA" w:rsidR="007E28C9" w:rsidRPr="007E28C9" w:rsidRDefault="007E28C9" w:rsidP="007E28C9">
      <w:pPr>
        <w:rPr>
          <w:rFonts w:ascii="Calibri" w:hAnsi="Calibri"/>
          <w:b/>
          <w:noProof/>
          <w:color w:val="48B49F"/>
          <w:sz w:val="44"/>
          <w:szCs w:val="44"/>
        </w:rPr>
      </w:pPr>
      <w:r>
        <w:rPr>
          <w:rFonts w:ascii="Cambria" w:hAnsi="Cambria"/>
          <w:b/>
          <w:noProof/>
        </w:rPr>
        <w:br w:type="column"/>
      </w:r>
      <w:r w:rsidRPr="007E28C9">
        <w:rPr>
          <w:rFonts w:ascii="Calibri" w:hAnsi="Calibri"/>
          <w:b/>
          <w:noProof/>
          <w:color w:val="48B49F"/>
          <w:sz w:val="44"/>
          <w:szCs w:val="44"/>
        </w:rPr>
        <w:lastRenderedPageBreak/>
        <w:t xml:space="preserve">Bio-Inspired Polymers: Student Lab </w:t>
      </w:r>
    </w:p>
    <w:p w14:paraId="6D7D9FF2" w14:textId="77777777" w:rsidR="007E28C9" w:rsidRPr="007A61FA" w:rsidRDefault="007E28C9" w:rsidP="007E28C9">
      <w:pPr>
        <w:rPr>
          <w:rFonts w:ascii="Cambria" w:hAnsi="Cambria"/>
          <w:b/>
        </w:rPr>
      </w:pPr>
    </w:p>
    <w:p w14:paraId="076DEADF" w14:textId="77777777" w:rsidR="007E28C9" w:rsidRPr="007A61FA" w:rsidRDefault="007E28C9" w:rsidP="007E28C9">
      <w:pPr>
        <w:rPr>
          <w:rFonts w:ascii="Cambria" w:hAnsi="Cambria"/>
          <w:b/>
        </w:rPr>
      </w:pPr>
      <w:r w:rsidRPr="007A61FA">
        <w:rPr>
          <w:rFonts w:ascii="Cambria" w:hAnsi="Cambria"/>
          <w:b/>
        </w:rPr>
        <w:t xml:space="preserve">Safety Precaution: Be careful not to look directly into the UV light or expose your skin to UV light! </w:t>
      </w:r>
    </w:p>
    <w:p w14:paraId="1ED82C7A" w14:textId="77777777" w:rsidR="007E28C9" w:rsidRPr="007A61FA" w:rsidRDefault="007E28C9" w:rsidP="007E28C9">
      <w:pPr>
        <w:rPr>
          <w:rFonts w:ascii="Cambria" w:hAnsi="Cambria"/>
          <w:b/>
        </w:rPr>
      </w:pPr>
      <w:r w:rsidRPr="007A61FA">
        <w:rPr>
          <w:rFonts w:ascii="Cambria" w:hAnsi="Cambria"/>
          <w:b/>
        </w:rPr>
        <w:t>Procedure:</w:t>
      </w:r>
    </w:p>
    <w:p w14:paraId="662F1863" w14:textId="77777777" w:rsidR="007E28C9" w:rsidRPr="007A61FA" w:rsidRDefault="007E28C9" w:rsidP="007E28C9">
      <w:pPr>
        <w:numPr>
          <w:ilvl w:val="0"/>
          <w:numId w:val="28"/>
        </w:numPr>
        <w:rPr>
          <w:rFonts w:ascii="Cambria" w:hAnsi="Cambria"/>
        </w:rPr>
      </w:pPr>
      <w:r w:rsidRPr="007A61FA">
        <w:rPr>
          <w:rFonts w:ascii="Cambria" w:hAnsi="Cambria"/>
        </w:rPr>
        <w:t>Collect the following materials from the lab supply area.</w:t>
      </w:r>
    </w:p>
    <w:p w14:paraId="37C78686" w14:textId="77777777" w:rsidR="007E28C9" w:rsidRDefault="007E28C9" w:rsidP="007E28C9">
      <w:pPr>
        <w:numPr>
          <w:ilvl w:val="1"/>
          <w:numId w:val="28"/>
        </w:numPr>
        <w:rPr>
          <w:rFonts w:ascii="Cambria" w:hAnsi="Cambria"/>
        </w:rPr>
        <w:sectPr w:rsidR="007E28C9" w:rsidSect="007E28C9">
          <w:type w:val="continuous"/>
          <w:pgSz w:w="12240" w:h="15840"/>
          <w:pgMar w:top="907" w:right="1800" w:bottom="1440" w:left="1080" w:header="720" w:footer="720" w:gutter="0"/>
          <w:cols w:space="720"/>
          <w:docGrid w:linePitch="360"/>
        </w:sectPr>
      </w:pPr>
    </w:p>
    <w:p w14:paraId="7C80A67B" w14:textId="77777777" w:rsidR="007E28C9" w:rsidRPr="007A61FA" w:rsidRDefault="007E28C9" w:rsidP="007E28C9">
      <w:pPr>
        <w:numPr>
          <w:ilvl w:val="1"/>
          <w:numId w:val="28"/>
        </w:numPr>
        <w:rPr>
          <w:rFonts w:ascii="Cambria" w:hAnsi="Cambria"/>
        </w:rPr>
      </w:pPr>
      <w:r w:rsidRPr="007A61FA">
        <w:rPr>
          <w:rFonts w:ascii="Cambria" w:hAnsi="Cambria"/>
        </w:rPr>
        <w:t xml:space="preserve">Thymine copolymer (1:4 VBT/VBEA) </w:t>
      </w:r>
    </w:p>
    <w:p w14:paraId="6E7FBAC9" w14:textId="77777777" w:rsidR="007E28C9" w:rsidRPr="007A61FA" w:rsidRDefault="007E28C9" w:rsidP="007E28C9">
      <w:pPr>
        <w:numPr>
          <w:ilvl w:val="1"/>
          <w:numId w:val="28"/>
        </w:numPr>
        <w:rPr>
          <w:rFonts w:ascii="Cambria" w:hAnsi="Cambria"/>
        </w:rPr>
      </w:pPr>
      <w:r w:rsidRPr="007A61FA">
        <w:rPr>
          <w:rFonts w:ascii="Cambria" w:hAnsi="Cambria"/>
        </w:rPr>
        <w:t>1 pipette</w:t>
      </w:r>
    </w:p>
    <w:p w14:paraId="352DA5D5" w14:textId="77777777" w:rsidR="007E28C9" w:rsidRPr="007A61FA" w:rsidRDefault="007E28C9" w:rsidP="007E28C9">
      <w:pPr>
        <w:numPr>
          <w:ilvl w:val="1"/>
          <w:numId w:val="28"/>
        </w:numPr>
        <w:rPr>
          <w:rFonts w:ascii="Cambria" w:hAnsi="Cambria"/>
        </w:rPr>
      </w:pPr>
      <w:r w:rsidRPr="007A61FA">
        <w:rPr>
          <w:rFonts w:ascii="Cambria" w:hAnsi="Cambria"/>
        </w:rPr>
        <w:t>1 sheet of transparency film</w:t>
      </w:r>
    </w:p>
    <w:p w14:paraId="333FBD1D" w14:textId="77777777" w:rsidR="007E28C9" w:rsidRPr="007A61FA" w:rsidRDefault="007E28C9" w:rsidP="007E28C9">
      <w:pPr>
        <w:numPr>
          <w:ilvl w:val="1"/>
          <w:numId w:val="28"/>
        </w:numPr>
        <w:rPr>
          <w:rFonts w:ascii="Cambria" w:hAnsi="Cambria"/>
        </w:rPr>
      </w:pPr>
      <w:r w:rsidRPr="007A61FA">
        <w:rPr>
          <w:rFonts w:ascii="Cambria" w:hAnsi="Cambria"/>
        </w:rPr>
        <w:t>1 coating rod (can also be a glass pipette or plastic tube)</w:t>
      </w:r>
    </w:p>
    <w:p w14:paraId="2F46C81E" w14:textId="77777777" w:rsidR="007E28C9" w:rsidRPr="007A61FA" w:rsidRDefault="007E28C9" w:rsidP="007E28C9">
      <w:pPr>
        <w:numPr>
          <w:ilvl w:val="1"/>
          <w:numId w:val="28"/>
        </w:numPr>
        <w:rPr>
          <w:rFonts w:ascii="Cambria" w:hAnsi="Cambria"/>
        </w:rPr>
      </w:pPr>
      <w:r w:rsidRPr="007A61FA">
        <w:rPr>
          <w:rFonts w:ascii="Cambria" w:hAnsi="Cambria"/>
        </w:rPr>
        <w:t>Food dye (liquid or powder)</w:t>
      </w:r>
    </w:p>
    <w:p w14:paraId="497804C9" w14:textId="77777777" w:rsidR="007E28C9" w:rsidRPr="007A61FA" w:rsidRDefault="007E28C9" w:rsidP="007E28C9">
      <w:pPr>
        <w:numPr>
          <w:ilvl w:val="1"/>
          <w:numId w:val="28"/>
        </w:numPr>
        <w:rPr>
          <w:rFonts w:ascii="Cambria" w:hAnsi="Cambria"/>
        </w:rPr>
      </w:pPr>
      <w:r w:rsidRPr="007A61FA">
        <w:rPr>
          <w:rFonts w:ascii="Cambria" w:hAnsi="Cambria"/>
        </w:rPr>
        <w:t xml:space="preserve">1 plastic bowl </w:t>
      </w:r>
    </w:p>
    <w:p w14:paraId="1C5C5D5A" w14:textId="77777777" w:rsidR="007E28C9" w:rsidRPr="007A61FA" w:rsidRDefault="007E28C9" w:rsidP="007E28C9">
      <w:pPr>
        <w:numPr>
          <w:ilvl w:val="1"/>
          <w:numId w:val="28"/>
        </w:numPr>
        <w:rPr>
          <w:rFonts w:ascii="Cambria" w:hAnsi="Cambria"/>
        </w:rPr>
      </w:pPr>
      <w:r w:rsidRPr="007A61FA">
        <w:rPr>
          <w:rFonts w:ascii="Cambria" w:hAnsi="Cambria"/>
        </w:rPr>
        <w:t>1 piece of construction paper</w:t>
      </w:r>
    </w:p>
    <w:p w14:paraId="1E76005E" w14:textId="77777777" w:rsidR="007E28C9" w:rsidRPr="007A61FA" w:rsidRDefault="007E28C9" w:rsidP="007E28C9">
      <w:pPr>
        <w:numPr>
          <w:ilvl w:val="1"/>
          <w:numId w:val="28"/>
        </w:numPr>
        <w:rPr>
          <w:rFonts w:ascii="Cambria" w:hAnsi="Cambria"/>
        </w:rPr>
      </w:pPr>
      <w:r w:rsidRPr="007A61FA">
        <w:rPr>
          <w:rFonts w:ascii="Cambria" w:hAnsi="Cambria"/>
        </w:rPr>
        <w:t>Scissors and hole punchers (for designing the mask)</w:t>
      </w:r>
    </w:p>
    <w:p w14:paraId="2FF8D23E" w14:textId="77777777" w:rsidR="007E28C9" w:rsidRPr="007A61FA" w:rsidRDefault="007E28C9" w:rsidP="007E28C9">
      <w:pPr>
        <w:numPr>
          <w:ilvl w:val="1"/>
          <w:numId w:val="28"/>
        </w:numPr>
        <w:rPr>
          <w:rFonts w:ascii="Cambria" w:hAnsi="Cambria"/>
        </w:rPr>
      </w:pPr>
      <w:r w:rsidRPr="007A61FA">
        <w:rPr>
          <w:rFonts w:ascii="Cambria" w:hAnsi="Cambria"/>
        </w:rPr>
        <w:t>1 paper towel</w:t>
      </w:r>
    </w:p>
    <w:p w14:paraId="77A661EC" w14:textId="77777777" w:rsidR="007E28C9" w:rsidRPr="007A61FA" w:rsidRDefault="007E28C9" w:rsidP="007E28C9">
      <w:pPr>
        <w:numPr>
          <w:ilvl w:val="1"/>
          <w:numId w:val="28"/>
        </w:numPr>
        <w:rPr>
          <w:rFonts w:ascii="Cambria" w:hAnsi="Cambria"/>
        </w:rPr>
      </w:pPr>
      <w:r w:rsidRPr="007A61FA">
        <w:rPr>
          <w:rFonts w:ascii="Cambria" w:hAnsi="Cambria"/>
        </w:rPr>
        <w:t>UV light</w:t>
      </w:r>
    </w:p>
    <w:p w14:paraId="45078CED" w14:textId="77777777" w:rsidR="007E28C9" w:rsidRPr="007A61FA" w:rsidRDefault="007E28C9" w:rsidP="007E28C9">
      <w:pPr>
        <w:numPr>
          <w:ilvl w:val="1"/>
          <w:numId w:val="28"/>
        </w:numPr>
        <w:rPr>
          <w:rFonts w:ascii="Cambria" w:hAnsi="Cambria"/>
        </w:rPr>
      </w:pPr>
      <w:r w:rsidRPr="007A61FA">
        <w:rPr>
          <w:rFonts w:ascii="Cambria" w:hAnsi="Cambria"/>
        </w:rPr>
        <w:t>Scotch tape</w:t>
      </w:r>
    </w:p>
    <w:p w14:paraId="09DC33CD" w14:textId="77777777" w:rsidR="007E28C9" w:rsidRDefault="007E28C9" w:rsidP="007E28C9">
      <w:pPr>
        <w:numPr>
          <w:ilvl w:val="0"/>
          <w:numId w:val="28"/>
        </w:numPr>
        <w:rPr>
          <w:rFonts w:ascii="Cambria" w:hAnsi="Cambria"/>
        </w:rPr>
        <w:sectPr w:rsidR="007E28C9" w:rsidSect="007A61FA">
          <w:type w:val="continuous"/>
          <w:pgSz w:w="12240" w:h="15840"/>
          <w:pgMar w:top="1440" w:right="1440" w:bottom="1440" w:left="1440" w:header="720" w:footer="720" w:gutter="0"/>
          <w:cols w:num="2" w:space="720"/>
          <w:docGrid w:linePitch="360"/>
        </w:sectPr>
      </w:pPr>
    </w:p>
    <w:p w14:paraId="5FBBE529" w14:textId="77777777" w:rsidR="007E28C9" w:rsidRDefault="007E28C9" w:rsidP="007E28C9">
      <w:pPr>
        <w:ind w:left="360"/>
        <w:rPr>
          <w:rFonts w:ascii="Cambria" w:hAnsi="Cambria"/>
        </w:rPr>
      </w:pPr>
    </w:p>
    <w:p w14:paraId="46533DBF" w14:textId="77777777" w:rsidR="007E28C9" w:rsidRDefault="007E28C9" w:rsidP="007E28C9">
      <w:pPr>
        <w:ind w:left="360"/>
        <w:rPr>
          <w:rFonts w:ascii="Cambria" w:hAnsi="Cambria"/>
        </w:rPr>
      </w:pPr>
    </w:p>
    <w:p w14:paraId="77CEEA84" w14:textId="78D12097" w:rsidR="007E28C9" w:rsidRPr="007E28C9" w:rsidRDefault="007E28C9" w:rsidP="007E28C9">
      <w:pPr>
        <w:pStyle w:val="ListParagraph"/>
        <w:numPr>
          <w:ilvl w:val="0"/>
          <w:numId w:val="30"/>
        </w:numPr>
        <w:rPr>
          <w:rFonts w:ascii="Cambria" w:hAnsi="Cambria"/>
        </w:rPr>
      </w:pPr>
      <w:r w:rsidRPr="007E28C9">
        <w:rPr>
          <w:rFonts w:ascii="Cambria" w:hAnsi="Cambria"/>
        </w:rPr>
        <w:t xml:space="preserve">Tape the paper towel vertically to the </w:t>
      </w:r>
      <w:proofErr w:type="gramStart"/>
      <w:r w:rsidRPr="007E28C9">
        <w:rPr>
          <w:rFonts w:ascii="Cambria" w:hAnsi="Cambria"/>
        </w:rPr>
        <w:t>table, and</w:t>
      </w:r>
      <w:proofErr w:type="gramEnd"/>
      <w:r w:rsidRPr="007E28C9">
        <w:rPr>
          <w:rFonts w:ascii="Cambria" w:hAnsi="Cambria"/>
        </w:rPr>
        <w:t xml:space="preserve"> tape the film on top. </w:t>
      </w:r>
    </w:p>
    <w:p w14:paraId="5807B09B" w14:textId="77777777" w:rsidR="007E28C9" w:rsidRPr="007E28C9" w:rsidRDefault="007E28C9" w:rsidP="007E28C9">
      <w:pPr>
        <w:pStyle w:val="ListParagraph"/>
        <w:numPr>
          <w:ilvl w:val="0"/>
          <w:numId w:val="30"/>
        </w:numPr>
        <w:rPr>
          <w:rFonts w:ascii="Cambria" w:hAnsi="Cambria"/>
        </w:rPr>
      </w:pPr>
      <w:r w:rsidRPr="007E28C9">
        <w:rPr>
          <w:rFonts w:ascii="Cambria" w:hAnsi="Cambria"/>
        </w:rPr>
        <w:t xml:space="preserve">Fill a pipette with the thymine copolymer and apply a thin straight line of liquid at the top of the film, below the tape. </w:t>
      </w:r>
    </w:p>
    <w:p w14:paraId="3A0F1562" w14:textId="77777777" w:rsidR="007E28C9" w:rsidRPr="007E28C9" w:rsidRDefault="007E28C9" w:rsidP="007E28C9">
      <w:pPr>
        <w:pStyle w:val="ListParagraph"/>
        <w:numPr>
          <w:ilvl w:val="0"/>
          <w:numId w:val="30"/>
        </w:numPr>
        <w:rPr>
          <w:rFonts w:ascii="Cambria" w:hAnsi="Cambria"/>
        </w:rPr>
      </w:pPr>
      <w:r w:rsidRPr="007E28C9">
        <w:rPr>
          <w:rFonts w:ascii="Cambria" w:hAnsi="Cambria"/>
        </w:rPr>
        <w:t>To coat the film, place the coating rod horizontally above the line, and draw straight down so the liquid covers the film, without rolling the rod (draw down past the bottom of the film so the extra liquid goes on the paper towel).</w:t>
      </w:r>
    </w:p>
    <w:p w14:paraId="6FB419BB" w14:textId="77777777" w:rsidR="007E28C9" w:rsidRPr="007E28C9" w:rsidRDefault="007E28C9" w:rsidP="007E28C9">
      <w:pPr>
        <w:pStyle w:val="ListParagraph"/>
        <w:numPr>
          <w:ilvl w:val="0"/>
          <w:numId w:val="30"/>
        </w:numPr>
        <w:rPr>
          <w:rFonts w:ascii="Cambria" w:hAnsi="Cambria"/>
        </w:rPr>
      </w:pPr>
      <w:r w:rsidRPr="007E28C9">
        <w:rPr>
          <w:rFonts w:ascii="Cambria" w:hAnsi="Cambria"/>
        </w:rPr>
        <w:t xml:space="preserve">Allow to dry for five minutes. </w:t>
      </w:r>
    </w:p>
    <w:p w14:paraId="6B4BFF8F" w14:textId="77777777" w:rsidR="007E28C9" w:rsidRPr="007E28C9" w:rsidRDefault="007E28C9" w:rsidP="007E28C9">
      <w:pPr>
        <w:pStyle w:val="ListParagraph"/>
        <w:numPr>
          <w:ilvl w:val="0"/>
          <w:numId w:val="30"/>
        </w:numPr>
        <w:rPr>
          <w:rFonts w:ascii="Cambria" w:hAnsi="Cambria"/>
        </w:rPr>
      </w:pPr>
      <w:r w:rsidRPr="007E28C9">
        <w:rPr>
          <w:rFonts w:ascii="Cambria" w:hAnsi="Cambria"/>
        </w:rPr>
        <w:t>While drying, design your own mask using the provided hole punchers and scissors to make a circuit.</w:t>
      </w:r>
    </w:p>
    <w:p w14:paraId="5D980F0D" w14:textId="77777777" w:rsidR="007E28C9" w:rsidRPr="007E28C9" w:rsidRDefault="007E28C9" w:rsidP="007E28C9">
      <w:pPr>
        <w:pStyle w:val="ListParagraph"/>
        <w:numPr>
          <w:ilvl w:val="0"/>
          <w:numId w:val="30"/>
        </w:numPr>
        <w:rPr>
          <w:rFonts w:ascii="Cambria" w:hAnsi="Cambria"/>
        </w:rPr>
      </w:pPr>
      <w:r w:rsidRPr="007E28C9">
        <w:rPr>
          <w:rFonts w:ascii="Cambria" w:hAnsi="Cambria"/>
        </w:rPr>
        <w:t>Your circuit should have at least four informational points to mimic chips and then circuits between them – you maybe as artistic as you want!</w:t>
      </w:r>
    </w:p>
    <w:p w14:paraId="2D865A8A" w14:textId="77777777" w:rsidR="007E28C9" w:rsidRPr="007E28C9" w:rsidRDefault="007E28C9" w:rsidP="007E28C9">
      <w:pPr>
        <w:pStyle w:val="ListParagraph"/>
        <w:numPr>
          <w:ilvl w:val="0"/>
          <w:numId w:val="30"/>
        </w:numPr>
        <w:rPr>
          <w:rFonts w:ascii="Cambria" w:hAnsi="Cambria"/>
        </w:rPr>
      </w:pPr>
      <w:r w:rsidRPr="007E28C9">
        <w:rPr>
          <w:rFonts w:ascii="Cambria" w:hAnsi="Cambria"/>
        </w:rPr>
        <w:t xml:space="preserve">Place the dried film under the short-wave UV lamp with the paper mask on top. </w:t>
      </w:r>
    </w:p>
    <w:p w14:paraId="164C1A6E" w14:textId="77777777" w:rsidR="007E28C9" w:rsidRPr="007E28C9" w:rsidRDefault="007E28C9" w:rsidP="007E28C9">
      <w:pPr>
        <w:pStyle w:val="ListParagraph"/>
        <w:numPr>
          <w:ilvl w:val="0"/>
          <w:numId w:val="30"/>
        </w:numPr>
        <w:rPr>
          <w:rFonts w:ascii="Cambria" w:hAnsi="Cambria"/>
        </w:rPr>
      </w:pPr>
      <w:r w:rsidRPr="007E28C9">
        <w:rPr>
          <w:rFonts w:ascii="Cambria" w:hAnsi="Cambria"/>
        </w:rPr>
        <w:t xml:space="preserve">Wait five minutes, then remove the mask and rinse in cold water. </w:t>
      </w:r>
    </w:p>
    <w:p w14:paraId="009EAD94" w14:textId="77777777" w:rsidR="007E28C9" w:rsidRPr="007E28C9" w:rsidRDefault="007E28C9" w:rsidP="007E28C9">
      <w:pPr>
        <w:pStyle w:val="ListParagraph"/>
        <w:numPr>
          <w:ilvl w:val="0"/>
          <w:numId w:val="30"/>
        </w:numPr>
        <w:rPr>
          <w:rFonts w:ascii="Cambria" w:hAnsi="Cambria"/>
        </w:rPr>
      </w:pPr>
      <w:r w:rsidRPr="007E28C9">
        <w:rPr>
          <w:rFonts w:ascii="Cambria" w:hAnsi="Cambria"/>
        </w:rPr>
        <w:t xml:space="preserve">Place dried film directly into the food coloring mixture and leave submerged for two minutes.  </w:t>
      </w:r>
    </w:p>
    <w:p w14:paraId="6275C268" w14:textId="77777777" w:rsidR="007E28C9" w:rsidRPr="007E28C9" w:rsidRDefault="007E28C9" w:rsidP="007E28C9">
      <w:pPr>
        <w:pStyle w:val="ListParagraph"/>
        <w:numPr>
          <w:ilvl w:val="0"/>
          <w:numId w:val="30"/>
        </w:numPr>
        <w:rPr>
          <w:rFonts w:ascii="Cambria" w:hAnsi="Cambria"/>
        </w:rPr>
      </w:pPr>
      <w:r w:rsidRPr="007E28C9">
        <w:rPr>
          <w:rFonts w:ascii="Cambria" w:hAnsi="Cambria"/>
        </w:rPr>
        <w:t>If you keep the tape on the film, you can tape the film to the side of the container of food dye. After this, rinse the film with cold water and return to the paper towel to dry.</w:t>
      </w:r>
    </w:p>
    <w:p w14:paraId="5AB00019" w14:textId="77777777" w:rsidR="007E28C9" w:rsidRPr="007A61FA" w:rsidRDefault="007E28C9" w:rsidP="007E28C9">
      <w:pPr>
        <w:rPr>
          <w:rFonts w:ascii="Cambria" w:hAnsi="Cambria"/>
          <w:b/>
        </w:rPr>
      </w:pPr>
    </w:p>
    <w:p w14:paraId="2D00AF1A" w14:textId="7EC3AA2D" w:rsidR="007E28C9" w:rsidRPr="007A61FA" w:rsidRDefault="007E28C9" w:rsidP="007E28C9">
      <w:pPr>
        <w:rPr>
          <w:rFonts w:ascii="Cambria" w:hAnsi="Cambria"/>
          <w:b/>
        </w:rPr>
      </w:pPr>
      <w:r w:rsidRPr="007A61FA">
        <w:rPr>
          <w:rFonts w:ascii="Cambria" w:hAnsi="Cambria"/>
          <w:b/>
        </w:rPr>
        <w:t>Clean</w:t>
      </w:r>
      <w:r>
        <w:rPr>
          <w:rFonts w:ascii="Cambria" w:hAnsi="Cambria"/>
          <w:b/>
        </w:rPr>
        <w:t>-</w:t>
      </w:r>
      <w:r w:rsidRPr="007A61FA">
        <w:rPr>
          <w:rFonts w:ascii="Cambria" w:hAnsi="Cambria"/>
          <w:b/>
        </w:rPr>
        <w:t>up</w:t>
      </w:r>
      <w:r>
        <w:rPr>
          <w:rFonts w:ascii="Cambria" w:hAnsi="Cambria"/>
          <w:b/>
        </w:rPr>
        <w:t>:</w:t>
      </w:r>
    </w:p>
    <w:p w14:paraId="0E4A4121" w14:textId="77777777" w:rsidR="007E28C9" w:rsidRPr="007E28C9" w:rsidRDefault="007E28C9" w:rsidP="007E28C9">
      <w:pPr>
        <w:pStyle w:val="ListParagraph"/>
        <w:numPr>
          <w:ilvl w:val="0"/>
          <w:numId w:val="31"/>
        </w:numPr>
        <w:rPr>
          <w:rFonts w:ascii="Cambria" w:hAnsi="Cambria"/>
        </w:rPr>
      </w:pPr>
      <w:r w:rsidRPr="007E28C9">
        <w:rPr>
          <w:rFonts w:ascii="Cambria" w:hAnsi="Cambria"/>
        </w:rPr>
        <w:t xml:space="preserve">Place the glass pipettes in the glass disposal. Replace the cap on the thymine copolymer and throw the pipette in the trash (if it is plastic). You may dump the food coloring down the sink. Leave your film out to dry, and then throw away the paper towel. </w:t>
      </w:r>
    </w:p>
    <w:p w14:paraId="51B149CE" w14:textId="77777777" w:rsidR="007E28C9" w:rsidRPr="007A61FA" w:rsidRDefault="007E28C9" w:rsidP="007E28C9">
      <w:pPr>
        <w:rPr>
          <w:rFonts w:ascii="Cambria" w:hAnsi="Cambria"/>
          <w:b/>
        </w:rPr>
      </w:pPr>
    </w:p>
    <w:p w14:paraId="1969543B" w14:textId="77777777" w:rsidR="007E28C9" w:rsidRPr="007A61FA" w:rsidRDefault="007E28C9" w:rsidP="007E28C9">
      <w:pPr>
        <w:rPr>
          <w:rFonts w:ascii="Cambria" w:hAnsi="Cambria"/>
          <w:b/>
          <w:color w:val="FF6600"/>
        </w:rPr>
      </w:pPr>
    </w:p>
    <w:p w14:paraId="6D6FBF6C" w14:textId="4E2249EB" w:rsidR="007E28C9" w:rsidRPr="007E28C9" w:rsidRDefault="007E28C9" w:rsidP="007E28C9">
      <w:pPr>
        <w:rPr>
          <w:rFonts w:ascii="Cambria" w:hAnsi="Cambria"/>
          <w:b/>
          <w:noProof/>
          <w:color w:val="FF6600"/>
        </w:rPr>
      </w:pPr>
      <w:r w:rsidRPr="007E28C9">
        <w:rPr>
          <w:rFonts w:ascii="Cambria" w:hAnsi="Cambria"/>
          <w:b/>
          <w:color w:val="000000" w:themeColor="text1"/>
        </w:rPr>
        <w:t xml:space="preserve">Post </w:t>
      </w:r>
      <w:r>
        <w:rPr>
          <w:rFonts w:ascii="Cambria" w:hAnsi="Cambria"/>
          <w:b/>
          <w:color w:val="000000" w:themeColor="text1"/>
        </w:rPr>
        <w:t>Questions</w:t>
      </w:r>
      <w:r w:rsidR="00BE600B">
        <w:rPr>
          <w:rFonts w:ascii="Cambria" w:hAnsi="Cambria"/>
          <w:b/>
          <w:color w:val="000000" w:themeColor="text1"/>
        </w:rPr>
        <w:t>:</w:t>
      </w:r>
    </w:p>
    <w:p w14:paraId="730F94E8" w14:textId="77777777" w:rsidR="007E28C9" w:rsidRPr="007E28C9" w:rsidRDefault="007E28C9" w:rsidP="007E28C9">
      <w:pPr>
        <w:rPr>
          <w:rFonts w:ascii="Cambria" w:hAnsi="Cambria"/>
          <w:b/>
          <w:noProof/>
          <w:color w:val="FF6600"/>
        </w:rPr>
      </w:pPr>
    </w:p>
    <w:p w14:paraId="37D08018" w14:textId="77777777" w:rsidR="007E28C9" w:rsidRPr="007E28C9" w:rsidRDefault="007E28C9" w:rsidP="007E28C9">
      <w:pPr>
        <w:rPr>
          <w:rFonts w:ascii="Cambria" w:hAnsi="Cambria"/>
        </w:rPr>
      </w:pPr>
      <w:r w:rsidRPr="007E28C9">
        <w:rPr>
          <w:rFonts w:ascii="Cambria" w:hAnsi="Cambria"/>
          <w:bCs/>
        </w:rPr>
        <w:t>Use information from the lab and the “Toxic Trade” article to answer the following questions.</w:t>
      </w:r>
    </w:p>
    <w:p w14:paraId="54CEDD47" w14:textId="77777777" w:rsidR="007E28C9" w:rsidRPr="007E28C9" w:rsidRDefault="007E28C9" w:rsidP="007E28C9">
      <w:pPr>
        <w:rPr>
          <w:rFonts w:ascii="Cambria" w:hAnsi="Cambria"/>
        </w:rPr>
      </w:pPr>
    </w:p>
    <w:p w14:paraId="1F0BCE5A" w14:textId="77777777" w:rsidR="007E28C9" w:rsidRPr="007E28C9" w:rsidRDefault="007E28C9" w:rsidP="007E28C9">
      <w:pPr>
        <w:outlineLvl w:val="0"/>
        <w:rPr>
          <w:rFonts w:ascii="Cambria" w:hAnsi="Cambria"/>
        </w:rPr>
      </w:pPr>
      <w:r w:rsidRPr="007E28C9">
        <w:rPr>
          <w:rFonts w:ascii="Cambria" w:hAnsi="Cambria"/>
        </w:rPr>
        <w:t>Define e-waste.</w:t>
      </w:r>
    </w:p>
    <w:p w14:paraId="22F81934" w14:textId="77777777" w:rsidR="007E28C9" w:rsidRPr="007E28C9" w:rsidRDefault="007E28C9" w:rsidP="007E28C9">
      <w:pPr>
        <w:rPr>
          <w:rFonts w:ascii="Cambria" w:hAnsi="Cambria"/>
        </w:rPr>
      </w:pPr>
    </w:p>
    <w:p w14:paraId="22EBB6CF" w14:textId="77777777" w:rsidR="007E28C9" w:rsidRPr="007E28C9" w:rsidRDefault="007E28C9" w:rsidP="007E28C9">
      <w:pPr>
        <w:rPr>
          <w:rFonts w:ascii="Cambria" w:hAnsi="Cambria"/>
        </w:rPr>
      </w:pPr>
    </w:p>
    <w:p w14:paraId="47D0F1A6" w14:textId="77777777" w:rsidR="007E28C9" w:rsidRPr="007E28C9" w:rsidRDefault="007E28C9" w:rsidP="007E28C9">
      <w:pPr>
        <w:rPr>
          <w:rFonts w:ascii="Cambria" w:hAnsi="Cambria"/>
        </w:rPr>
      </w:pPr>
    </w:p>
    <w:p w14:paraId="35D34DF7" w14:textId="77777777" w:rsidR="007E28C9" w:rsidRPr="007E28C9" w:rsidRDefault="007E28C9" w:rsidP="007E28C9">
      <w:pPr>
        <w:rPr>
          <w:rFonts w:ascii="Cambria" w:hAnsi="Cambria"/>
        </w:rPr>
      </w:pPr>
    </w:p>
    <w:p w14:paraId="0662BC59" w14:textId="77777777" w:rsidR="007E28C9" w:rsidRPr="007E28C9" w:rsidRDefault="007E28C9" w:rsidP="007E28C9">
      <w:pPr>
        <w:outlineLvl w:val="0"/>
        <w:rPr>
          <w:rFonts w:ascii="Cambria" w:hAnsi="Cambria"/>
        </w:rPr>
      </w:pPr>
      <w:r w:rsidRPr="007E28C9">
        <w:rPr>
          <w:rFonts w:ascii="Cambria" w:hAnsi="Cambria"/>
        </w:rPr>
        <w:t>List 3 e-waste toxins and the possible adverse health effects.</w:t>
      </w:r>
    </w:p>
    <w:p w14:paraId="14E05DFA" w14:textId="77777777" w:rsidR="007E28C9" w:rsidRPr="007E28C9" w:rsidRDefault="007E28C9" w:rsidP="007E28C9">
      <w:pPr>
        <w:rPr>
          <w:rFonts w:ascii="Cambria" w:hAnsi="Cambria"/>
        </w:rPr>
      </w:pPr>
    </w:p>
    <w:p w14:paraId="7E8209C5" w14:textId="77777777" w:rsidR="007E28C9" w:rsidRPr="007E28C9" w:rsidRDefault="007E28C9" w:rsidP="007E28C9">
      <w:pPr>
        <w:rPr>
          <w:rFonts w:ascii="Cambria" w:hAnsi="Cambria"/>
        </w:rPr>
      </w:pPr>
    </w:p>
    <w:p w14:paraId="5DBDD57B" w14:textId="77777777" w:rsidR="007E28C9" w:rsidRPr="007E28C9" w:rsidRDefault="007E28C9" w:rsidP="007E28C9">
      <w:pPr>
        <w:rPr>
          <w:rFonts w:ascii="Cambria" w:hAnsi="Cambria"/>
        </w:rPr>
      </w:pPr>
    </w:p>
    <w:p w14:paraId="56B3C6E5" w14:textId="77777777" w:rsidR="007E28C9" w:rsidRPr="007E28C9" w:rsidRDefault="007E28C9" w:rsidP="007E28C9">
      <w:pPr>
        <w:rPr>
          <w:rFonts w:ascii="Cambria" w:hAnsi="Cambria"/>
        </w:rPr>
      </w:pPr>
    </w:p>
    <w:p w14:paraId="49E218A8" w14:textId="77777777" w:rsidR="007E28C9" w:rsidRPr="007E28C9" w:rsidRDefault="007E28C9" w:rsidP="007E28C9">
      <w:pPr>
        <w:outlineLvl w:val="0"/>
        <w:rPr>
          <w:rFonts w:ascii="Cambria" w:hAnsi="Cambria"/>
        </w:rPr>
      </w:pPr>
    </w:p>
    <w:p w14:paraId="01D8BA3B" w14:textId="77777777" w:rsidR="007E28C9" w:rsidRPr="007E28C9" w:rsidRDefault="007E28C9" w:rsidP="007E28C9">
      <w:pPr>
        <w:outlineLvl w:val="0"/>
        <w:rPr>
          <w:rFonts w:ascii="Cambria" w:hAnsi="Cambria"/>
        </w:rPr>
      </w:pPr>
      <w:r w:rsidRPr="007E28C9">
        <w:rPr>
          <w:rFonts w:ascii="Cambria" w:hAnsi="Cambria"/>
        </w:rPr>
        <w:t>How does VBT mimic human skin?</w:t>
      </w:r>
    </w:p>
    <w:p w14:paraId="726D0AB3" w14:textId="77777777" w:rsidR="007E28C9" w:rsidRPr="007E28C9" w:rsidRDefault="007E28C9" w:rsidP="007E28C9">
      <w:pPr>
        <w:rPr>
          <w:rFonts w:ascii="Cambria" w:hAnsi="Cambria"/>
        </w:rPr>
      </w:pPr>
    </w:p>
    <w:p w14:paraId="5C4067BE" w14:textId="77777777" w:rsidR="007E28C9" w:rsidRPr="007E28C9" w:rsidRDefault="007E28C9" w:rsidP="007E28C9">
      <w:pPr>
        <w:rPr>
          <w:rFonts w:ascii="Cambria" w:hAnsi="Cambria"/>
        </w:rPr>
      </w:pPr>
    </w:p>
    <w:p w14:paraId="2DD8D863" w14:textId="77777777" w:rsidR="007E28C9" w:rsidRPr="007E28C9" w:rsidRDefault="007E28C9" w:rsidP="007E28C9">
      <w:pPr>
        <w:rPr>
          <w:rFonts w:ascii="Cambria" w:hAnsi="Cambria"/>
        </w:rPr>
      </w:pPr>
    </w:p>
    <w:p w14:paraId="72F22B2C" w14:textId="77777777" w:rsidR="007E28C9" w:rsidRPr="007E28C9" w:rsidRDefault="007E28C9" w:rsidP="007E28C9">
      <w:pPr>
        <w:rPr>
          <w:rFonts w:ascii="Cambria" w:hAnsi="Cambria"/>
        </w:rPr>
      </w:pPr>
    </w:p>
    <w:p w14:paraId="4F6F35B0" w14:textId="77777777" w:rsidR="007E28C9" w:rsidRPr="007E28C9" w:rsidRDefault="007E28C9" w:rsidP="007E28C9">
      <w:pPr>
        <w:rPr>
          <w:rFonts w:ascii="Cambria" w:hAnsi="Cambria"/>
        </w:rPr>
      </w:pPr>
    </w:p>
    <w:p w14:paraId="786B80C5" w14:textId="77777777" w:rsidR="007E28C9" w:rsidRPr="007E28C9" w:rsidRDefault="007E28C9" w:rsidP="007E28C9">
      <w:pPr>
        <w:rPr>
          <w:rFonts w:ascii="Cambria" w:hAnsi="Cambria"/>
        </w:rPr>
      </w:pPr>
    </w:p>
    <w:p w14:paraId="4F37EB9E" w14:textId="77777777" w:rsidR="007E28C9" w:rsidRPr="007E28C9" w:rsidRDefault="007E28C9" w:rsidP="007E28C9">
      <w:pPr>
        <w:outlineLvl w:val="0"/>
        <w:rPr>
          <w:rFonts w:ascii="Cambria" w:hAnsi="Cambria"/>
        </w:rPr>
      </w:pPr>
      <w:r w:rsidRPr="007E28C9">
        <w:rPr>
          <w:rFonts w:ascii="Cambria" w:hAnsi="Cambria"/>
        </w:rPr>
        <w:t>Identify and explain three green chemistry principles addressed in the VBT lesson.</w:t>
      </w:r>
    </w:p>
    <w:p w14:paraId="2F56F586" w14:textId="77777777" w:rsidR="007E28C9" w:rsidRPr="007E28C9" w:rsidRDefault="007E28C9" w:rsidP="007E28C9">
      <w:pPr>
        <w:rPr>
          <w:rFonts w:ascii="Cambria" w:hAnsi="Cambria"/>
        </w:rPr>
      </w:pPr>
    </w:p>
    <w:p w14:paraId="3615E973" w14:textId="77777777" w:rsidR="007E28C9" w:rsidRPr="007E28C9" w:rsidRDefault="007E28C9" w:rsidP="007E28C9">
      <w:pPr>
        <w:rPr>
          <w:rFonts w:ascii="Cambria" w:hAnsi="Cambria"/>
        </w:rPr>
      </w:pPr>
    </w:p>
    <w:p w14:paraId="01A9BD78" w14:textId="77777777" w:rsidR="007E28C9" w:rsidRPr="007E28C9" w:rsidRDefault="007E28C9" w:rsidP="007E28C9">
      <w:pPr>
        <w:rPr>
          <w:rFonts w:ascii="Cambria" w:hAnsi="Cambria"/>
        </w:rPr>
      </w:pPr>
    </w:p>
    <w:p w14:paraId="67D64C27" w14:textId="77777777" w:rsidR="007E28C9" w:rsidRPr="007E28C9" w:rsidRDefault="007E28C9" w:rsidP="007E28C9">
      <w:pPr>
        <w:rPr>
          <w:rFonts w:ascii="Cambria" w:hAnsi="Cambria"/>
        </w:rPr>
      </w:pPr>
    </w:p>
    <w:p w14:paraId="233470C7" w14:textId="77777777" w:rsidR="007E28C9" w:rsidRPr="007E28C9" w:rsidRDefault="007E28C9" w:rsidP="007E28C9">
      <w:pPr>
        <w:rPr>
          <w:rFonts w:ascii="Cambria" w:hAnsi="Cambria"/>
        </w:rPr>
      </w:pPr>
    </w:p>
    <w:p w14:paraId="2DD743DB" w14:textId="77777777" w:rsidR="007E28C9" w:rsidRPr="007E28C9" w:rsidRDefault="007E28C9" w:rsidP="007E28C9">
      <w:pPr>
        <w:rPr>
          <w:rFonts w:ascii="Cambria" w:hAnsi="Cambria"/>
        </w:rPr>
      </w:pPr>
    </w:p>
    <w:p w14:paraId="3652FFED" w14:textId="77777777" w:rsidR="007E28C9" w:rsidRPr="007E28C9" w:rsidRDefault="007E28C9" w:rsidP="007E28C9">
      <w:pPr>
        <w:rPr>
          <w:rFonts w:ascii="Cambria" w:hAnsi="Cambria"/>
        </w:rPr>
      </w:pPr>
      <w:r w:rsidRPr="007E28C9">
        <w:rPr>
          <w:rFonts w:ascii="Cambria" w:hAnsi="Cambria"/>
        </w:rPr>
        <w:t xml:space="preserve">How do the green chemistry principles addressed in the VBT lesson align with the international, </w:t>
      </w:r>
      <w:proofErr w:type="gramStart"/>
      <w:r w:rsidRPr="007E28C9">
        <w:rPr>
          <w:rFonts w:ascii="Cambria" w:hAnsi="Cambria"/>
        </w:rPr>
        <w:t>national</w:t>
      </w:r>
      <w:proofErr w:type="gramEnd"/>
      <w:r w:rsidRPr="007E28C9">
        <w:rPr>
          <w:rFonts w:ascii="Cambria" w:hAnsi="Cambria"/>
        </w:rPr>
        <w:t xml:space="preserve"> and local efforts to reduce e-waste?</w:t>
      </w:r>
    </w:p>
    <w:p w14:paraId="2930F8FF" w14:textId="77777777" w:rsidR="007E28C9" w:rsidRPr="007E28C9" w:rsidRDefault="007E28C9" w:rsidP="007E28C9">
      <w:pPr>
        <w:rPr>
          <w:rFonts w:ascii="Cambria" w:hAnsi="Cambria"/>
        </w:rPr>
      </w:pPr>
    </w:p>
    <w:p w14:paraId="56CD1691" w14:textId="77777777" w:rsidR="007E28C9" w:rsidRPr="007E28C9" w:rsidRDefault="007E28C9" w:rsidP="007E28C9">
      <w:pPr>
        <w:rPr>
          <w:rFonts w:ascii="Cambria" w:hAnsi="Cambria"/>
        </w:rPr>
      </w:pPr>
    </w:p>
    <w:p w14:paraId="14E7A0E7" w14:textId="77777777" w:rsidR="007E28C9" w:rsidRPr="007E28C9" w:rsidRDefault="007E28C9" w:rsidP="007E28C9">
      <w:pPr>
        <w:rPr>
          <w:rFonts w:ascii="Cambria" w:hAnsi="Cambria"/>
        </w:rPr>
      </w:pPr>
    </w:p>
    <w:p w14:paraId="15148ACC" w14:textId="77777777" w:rsidR="007E28C9" w:rsidRPr="007E28C9" w:rsidRDefault="007E28C9" w:rsidP="007E28C9">
      <w:pPr>
        <w:rPr>
          <w:rFonts w:ascii="Cambria" w:hAnsi="Cambria"/>
        </w:rPr>
      </w:pPr>
    </w:p>
    <w:p w14:paraId="501D7585" w14:textId="77777777" w:rsidR="007E28C9" w:rsidRPr="007E28C9" w:rsidRDefault="007E28C9" w:rsidP="007E28C9">
      <w:pPr>
        <w:rPr>
          <w:rFonts w:ascii="Cambria" w:hAnsi="Cambria"/>
        </w:rPr>
      </w:pPr>
    </w:p>
    <w:p w14:paraId="15325F1D" w14:textId="77777777" w:rsidR="007E28C9" w:rsidRPr="007E28C9" w:rsidRDefault="007E28C9" w:rsidP="007E28C9">
      <w:pPr>
        <w:rPr>
          <w:rFonts w:ascii="Cambria" w:hAnsi="Cambria"/>
        </w:rPr>
      </w:pPr>
    </w:p>
    <w:p w14:paraId="48778F4F" w14:textId="77777777" w:rsidR="007E28C9" w:rsidRPr="007E28C9" w:rsidRDefault="007E28C9" w:rsidP="007E28C9">
      <w:pPr>
        <w:jc w:val="both"/>
        <w:rPr>
          <w:rFonts w:ascii="Cambria" w:hAnsi="Cambria"/>
        </w:rPr>
      </w:pPr>
      <w:r w:rsidRPr="007E28C9">
        <w:rPr>
          <w:rFonts w:ascii="Cambria" w:hAnsi="Cambria"/>
        </w:rPr>
        <w:t>What else can be done to reduce e-waste?</w:t>
      </w:r>
    </w:p>
    <w:p w14:paraId="4DB6330B" w14:textId="77777777" w:rsidR="007E28C9" w:rsidRDefault="007E28C9" w:rsidP="00BE600B">
      <w:pPr>
        <w:ind w:left="720"/>
        <w:rPr>
          <w:rFonts w:ascii="Cambria" w:hAnsi="Cambria"/>
        </w:rPr>
      </w:pPr>
    </w:p>
    <w:p w14:paraId="147A8D39" w14:textId="77777777" w:rsidR="00BE600B" w:rsidRDefault="00BE600B" w:rsidP="00BE600B">
      <w:pPr>
        <w:ind w:left="720"/>
        <w:rPr>
          <w:rFonts w:ascii="Cambria" w:hAnsi="Cambria"/>
        </w:rPr>
        <w:sectPr w:rsidR="00BE600B" w:rsidSect="007E28C9">
          <w:type w:val="continuous"/>
          <w:pgSz w:w="12240" w:h="15840"/>
          <w:pgMar w:top="907" w:right="1800" w:bottom="1440" w:left="1080" w:header="720" w:footer="720" w:gutter="0"/>
          <w:cols w:space="720"/>
          <w:docGrid w:linePitch="360"/>
        </w:sectPr>
      </w:pPr>
    </w:p>
    <w:p w14:paraId="7A6883D6" w14:textId="77777777" w:rsidR="007E28C9" w:rsidRPr="007A61FA" w:rsidRDefault="007E28C9" w:rsidP="007E28C9">
      <w:pPr>
        <w:rPr>
          <w:rFonts w:ascii="Cambria" w:hAnsi="Cambria"/>
          <w:b/>
          <w:noProof/>
          <w:color w:val="FF6600"/>
        </w:rPr>
      </w:pPr>
    </w:p>
    <w:tbl>
      <w:tblPr>
        <w:tblW w:w="8010" w:type="dxa"/>
        <w:tblCellSpacing w:w="0" w:type="dxa"/>
        <w:tblCellMar>
          <w:left w:w="0" w:type="dxa"/>
          <w:right w:w="0" w:type="dxa"/>
        </w:tblCellMar>
        <w:tblLook w:val="04A0" w:firstRow="1" w:lastRow="0" w:firstColumn="1" w:lastColumn="0" w:noHBand="0" w:noVBand="1"/>
      </w:tblPr>
      <w:tblGrid>
        <w:gridCol w:w="8010"/>
      </w:tblGrid>
      <w:tr w:rsidR="007E28C9" w:rsidRPr="007A61FA" w14:paraId="27EA1523" w14:textId="77777777" w:rsidTr="002E3552">
        <w:trPr>
          <w:tblCellSpacing w:w="0" w:type="dxa"/>
        </w:trPr>
        <w:tc>
          <w:tcPr>
            <w:tcW w:w="8010" w:type="dxa"/>
            <w:vAlign w:val="center"/>
            <w:hideMark/>
          </w:tcPr>
          <w:p w14:paraId="72A8D1BB" w14:textId="77777777" w:rsidR="007E28C9" w:rsidRPr="00BE600B" w:rsidRDefault="007E28C9" w:rsidP="002E3552">
            <w:pPr>
              <w:rPr>
                <w:rFonts w:ascii="Calibri" w:hAnsi="Calibri"/>
                <w:b/>
                <w:color w:val="48B49F"/>
                <w:sz w:val="44"/>
                <w:szCs w:val="44"/>
              </w:rPr>
            </w:pPr>
            <w:r w:rsidRPr="00BE600B">
              <w:rPr>
                <w:rFonts w:ascii="Calibri" w:hAnsi="Calibri"/>
                <w:b/>
                <w:color w:val="48B49F"/>
                <w:sz w:val="44"/>
                <w:szCs w:val="44"/>
              </w:rPr>
              <w:t>Background Reading</w:t>
            </w:r>
          </w:p>
          <w:p w14:paraId="5182F47C" w14:textId="77777777" w:rsidR="007E28C9" w:rsidRPr="007A61FA" w:rsidRDefault="007E28C9" w:rsidP="002E3552">
            <w:pPr>
              <w:pStyle w:val="NormalWeb"/>
              <w:spacing w:line="192" w:lineRule="atLeast"/>
              <w:rPr>
                <w:rFonts w:ascii="Cambria" w:hAnsi="Cambria"/>
                <w:b/>
                <w:bCs/>
                <w:color w:val="336699"/>
              </w:rPr>
            </w:pPr>
            <w:r w:rsidRPr="007A61FA">
              <w:rPr>
                <w:rFonts w:ascii="Cambria" w:hAnsi="Cambria"/>
                <w:b/>
                <w:bCs/>
                <w:color w:val="336699"/>
              </w:rPr>
              <w:t>TOXIC TRADE: THE REAL COST OF ELECTRONICS WASTE EXPORTS FROM THE UNITED STATES</w:t>
            </w:r>
          </w:p>
        </w:tc>
      </w:tr>
      <w:tr w:rsidR="007E28C9" w:rsidRPr="007A61FA" w14:paraId="6F2C60D2" w14:textId="77777777" w:rsidTr="002E3552">
        <w:trPr>
          <w:tblCellSpacing w:w="0" w:type="dxa"/>
        </w:trPr>
        <w:tc>
          <w:tcPr>
            <w:tcW w:w="8010" w:type="dxa"/>
            <w:vAlign w:val="center"/>
            <w:hideMark/>
          </w:tcPr>
          <w:p w14:paraId="5A399C41" w14:textId="77777777" w:rsidR="007E28C9" w:rsidRPr="007A61FA" w:rsidRDefault="007E28C9" w:rsidP="002E3552">
            <w:pPr>
              <w:rPr>
                <w:rFonts w:ascii="Cambria" w:hAnsi="Cambria"/>
              </w:rPr>
            </w:pPr>
            <w:r w:rsidRPr="007A61FA">
              <w:rPr>
                <w:rFonts w:ascii="Cambria" w:hAnsi="Cambria"/>
              </w:rPr>
              <w:t> </w:t>
            </w:r>
          </w:p>
        </w:tc>
      </w:tr>
      <w:tr w:rsidR="007E28C9" w:rsidRPr="007A61FA" w14:paraId="40C04C3E" w14:textId="77777777" w:rsidTr="002E3552">
        <w:trPr>
          <w:trHeight w:val="180"/>
          <w:tblCellSpacing w:w="0" w:type="dxa"/>
        </w:trPr>
        <w:tc>
          <w:tcPr>
            <w:tcW w:w="8010" w:type="dxa"/>
            <w:vAlign w:val="center"/>
            <w:hideMark/>
          </w:tcPr>
          <w:p w14:paraId="148B581F" w14:textId="77777777" w:rsidR="007E28C9" w:rsidRPr="007A61FA" w:rsidRDefault="007E28C9" w:rsidP="002E3552">
            <w:pPr>
              <w:spacing w:line="144" w:lineRule="atLeast"/>
              <w:rPr>
                <w:rFonts w:ascii="Cambria" w:hAnsi="Cambria"/>
                <w:color w:val="666633"/>
              </w:rPr>
            </w:pPr>
            <w:r w:rsidRPr="007A61FA">
              <w:rPr>
                <w:rFonts w:ascii="Cambria" w:hAnsi="Cambria"/>
                <w:color w:val="666633"/>
              </w:rPr>
              <w:t xml:space="preserve">Source: </w:t>
            </w:r>
            <w:proofErr w:type="spellStart"/>
            <w:r w:rsidRPr="007A61FA">
              <w:rPr>
                <w:rFonts w:ascii="Cambria" w:hAnsi="Cambria"/>
                <w:color w:val="666633"/>
              </w:rPr>
              <w:t>EarthTrends</w:t>
            </w:r>
            <w:proofErr w:type="spellEnd"/>
            <w:r w:rsidRPr="007A61FA">
              <w:rPr>
                <w:rFonts w:ascii="Cambria" w:hAnsi="Cambria"/>
                <w:color w:val="666633"/>
              </w:rPr>
              <w:t xml:space="preserve"> Environmental Essay Competition Winner</w:t>
            </w:r>
            <w:r w:rsidRPr="007A61FA">
              <w:rPr>
                <w:rFonts w:ascii="Cambria" w:hAnsi="Cambria"/>
                <w:color w:val="666633"/>
              </w:rPr>
              <w:br/>
              <w:t>Author: Layne Nakagawa</w:t>
            </w:r>
            <w:r w:rsidRPr="007A61FA">
              <w:rPr>
                <w:rFonts w:ascii="Cambria" w:hAnsi="Cambria"/>
                <w:color w:val="666633"/>
              </w:rPr>
              <w:br/>
              <w:t xml:space="preserve">Editor: Amy </w:t>
            </w:r>
            <w:proofErr w:type="spellStart"/>
            <w:r w:rsidRPr="007A61FA">
              <w:rPr>
                <w:rFonts w:ascii="Cambria" w:hAnsi="Cambria"/>
                <w:color w:val="666633"/>
              </w:rPr>
              <w:t>Cassara</w:t>
            </w:r>
            <w:proofErr w:type="spellEnd"/>
            <w:r w:rsidRPr="007A61FA">
              <w:rPr>
                <w:rFonts w:ascii="Cambria" w:hAnsi="Cambria"/>
                <w:color w:val="666633"/>
              </w:rPr>
              <w:t xml:space="preserve"> and Tom </w:t>
            </w:r>
            <w:proofErr w:type="spellStart"/>
            <w:r w:rsidRPr="007A61FA">
              <w:rPr>
                <w:rFonts w:ascii="Cambria" w:hAnsi="Cambria"/>
                <w:color w:val="666633"/>
              </w:rPr>
              <w:t>Damassa</w:t>
            </w:r>
            <w:proofErr w:type="spellEnd"/>
            <w:r w:rsidRPr="007A61FA">
              <w:rPr>
                <w:rFonts w:ascii="Cambria" w:hAnsi="Cambria"/>
                <w:color w:val="666633"/>
              </w:rPr>
              <w:br/>
              <w:t xml:space="preserve">Date: June 2006 </w:t>
            </w:r>
          </w:p>
        </w:tc>
      </w:tr>
      <w:tr w:rsidR="007E28C9" w:rsidRPr="007A61FA" w14:paraId="3DF1A8D4" w14:textId="77777777" w:rsidTr="002E3552">
        <w:trPr>
          <w:trHeight w:val="180"/>
          <w:tblCellSpacing w:w="0" w:type="dxa"/>
        </w:trPr>
        <w:tc>
          <w:tcPr>
            <w:tcW w:w="8010" w:type="dxa"/>
            <w:vAlign w:val="center"/>
            <w:hideMark/>
          </w:tcPr>
          <w:p w14:paraId="2C39BC18" w14:textId="24EB82C2" w:rsidR="007E28C9" w:rsidRPr="007A61FA" w:rsidRDefault="007E28C9" w:rsidP="002E3552">
            <w:pPr>
              <w:spacing w:line="144" w:lineRule="atLeast"/>
              <w:rPr>
                <w:rFonts w:ascii="Cambria" w:hAnsi="Cambria"/>
                <w:color w:val="666633"/>
              </w:rPr>
            </w:pPr>
            <w:r>
              <w:rPr>
                <w:rFonts w:ascii="Cambria" w:hAnsi="Cambria"/>
                <w:noProof/>
                <w:color w:val="666633"/>
                <w:lang w:val="en-US"/>
              </w:rPr>
              <w:drawing>
                <wp:inline distT="0" distB="0" distL="0" distR="0" wp14:anchorId="17FF940E" wp14:editId="435B6982">
                  <wp:extent cx="828040" cy="240665"/>
                  <wp:effectExtent l="0" t="0" r="0" b="0"/>
                  <wp:docPr id="41" name="Picture 2" descr="http://earthtrends.wri.org/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arthtrends.wri.org/images/space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040" cy="240665"/>
                          </a:xfrm>
                          <a:prstGeom prst="rect">
                            <a:avLst/>
                          </a:prstGeom>
                          <a:noFill/>
                          <a:ln>
                            <a:noFill/>
                          </a:ln>
                        </pic:spPr>
                      </pic:pic>
                    </a:graphicData>
                  </a:graphic>
                </wp:inline>
              </w:drawing>
            </w:r>
          </w:p>
        </w:tc>
      </w:tr>
      <w:tr w:rsidR="007E28C9" w:rsidRPr="007A61FA" w14:paraId="0751BECF" w14:textId="77777777" w:rsidTr="002E3552">
        <w:trPr>
          <w:trHeight w:val="180"/>
          <w:tblCellSpacing w:w="0" w:type="dxa"/>
        </w:trPr>
        <w:tc>
          <w:tcPr>
            <w:tcW w:w="8010" w:type="dxa"/>
            <w:vAlign w:val="center"/>
            <w:hideMark/>
          </w:tcPr>
          <w:p w14:paraId="7AE6AB1F"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Electronic waste, or "e-waste", is a broad term that refers to end-of-life consumer electronics, including televisions, computers and monitors, audio/stereo equipment, VCRs, DVD players, video cameras, telephones, fax and copy machines, mobile phones, wireless devices, and video game consoles. In 2003, the United States alone generated 2.8 million tons of electronic waste and only recovered (re-used or recycled) 290 thousand tons, leaving the rest to </w:t>
            </w:r>
            <w:proofErr w:type="gramStart"/>
            <w:r w:rsidRPr="007A61FA">
              <w:rPr>
                <w:rFonts w:ascii="Cambria" w:hAnsi="Cambria"/>
                <w:color w:val="333333"/>
              </w:rPr>
              <w:t>enter into</w:t>
            </w:r>
            <w:proofErr w:type="gramEnd"/>
            <w:r w:rsidRPr="007A61FA">
              <w:rPr>
                <w:rFonts w:ascii="Cambria" w:hAnsi="Cambria"/>
                <w:color w:val="333333"/>
              </w:rPr>
              <w:t xml:space="preserve"> the municipal waste stream (EPA 2003). </w:t>
            </w:r>
          </w:p>
          <w:p w14:paraId="7E3FC9DB"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One of the largest obstacles in recycling e-waste is the lack of proper domestic facilities to sort and handle the various materials, many of which are hazardous. In the United States, waste is frequently exported to developing countries, allowing producers and consumers to take advantage of very low labor costs (as low as $1.50 per worker per day in China) and less stringent environmental and occupational regulations (Puckett et al. 2002: 10). However, the dismantling of e-waste, particularly in parts of Asia and Africa, poses a significant health risk to workers and their communities (Puckett et al. 2002: 11). The promotion of responsible federal regulation, legitimate recycling programs, and corporately sponsored take-back agreements would work towards preventing the export of tons of e-waste and ultimately protect these overseas communities from the environmental and health impacts of the hazardous materials. </w:t>
            </w:r>
          </w:p>
          <w:p w14:paraId="702FD1AA"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b/>
                <w:bCs/>
                <w:color w:val="333333"/>
              </w:rPr>
              <w:t>E-Waste Toxins</w:t>
            </w:r>
            <w:r w:rsidRPr="007A61FA">
              <w:rPr>
                <w:rFonts w:ascii="Cambria" w:hAnsi="Cambria"/>
                <w:color w:val="333333"/>
              </w:rPr>
              <w:t xml:space="preserve"> </w:t>
            </w:r>
          </w:p>
          <w:p w14:paraId="758B5161"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E-waste contains </w:t>
            </w:r>
            <w:proofErr w:type="gramStart"/>
            <w:r w:rsidRPr="007A61FA">
              <w:rPr>
                <w:rFonts w:ascii="Cambria" w:hAnsi="Cambria"/>
                <w:color w:val="333333"/>
              </w:rPr>
              <w:t>a number of</w:t>
            </w:r>
            <w:proofErr w:type="gramEnd"/>
            <w:r w:rsidRPr="007A61FA">
              <w:rPr>
                <w:rFonts w:ascii="Cambria" w:hAnsi="Cambria"/>
                <w:color w:val="333333"/>
              </w:rPr>
              <w:t xml:space="preserve"> toxic substances, including plastics and heavy metals such as lead, cadmium, and mercury, which can cause serious adverse health effects. </w:t>
            </w:r>
          </w:p>
          <w:p w14:paraId="7CBDE25B"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Lead can be found in circuit boards and monitor cathode ray tubes (CRTs). Lead is particularly dangerous to the environment because of its ability to accumulate and persist in plants, animals, and microorganisms (Puckett et al. 2002: 11). The bioaccumulation of lead in the human body is particularly harmful because its primary target is the central nervous system. Lead can cause permanent damage to the brain and nervous system, causing retardation and behavioral changes. Infants and young children are particularly susceptible because of the impairment of cognitive and behavioral development it can cause (Ryan et al. 2004: 19A). </w:t>
            </w:r>
          </w:p>
          <w:p w14:paraId="1BA1C176"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Cadmium can be found in SMD (surface mount device) chip resistors, infrared </w:t>
            </w:r>
            <w:proofErr w:type="gramStart"/>
            <w:r w:rsidRPr="007A61FA">
              <w:rPr>
                <w:rFonts w:ascii="Cambria" w:hAnsi="Cambria"/>
                <w:color w:val="333333"/>
              </w:rPr>
              <w:t>detectors</w:t>
            </w:r>
            <w:proofErr w:type="gramEnd"/>
            <w:r w:rsidRPr="007A61FA">
              <w:rPr>
                <w:rFonts w:ascii="Cambria" w:hAnsi="Cambria"/>
                <w:color w:val="333333"/>
              </w:rPr>
              <w:t xml:space="preserve"> and semiconductors (Puckett et al. 2002: 11). Like lead, cadmium is particularly toxic to humans because it accumulates in the human body and poses an environmental danger due to both acute and chronic toxicity (Puckett et al. 2002: 11). Renal damage is the most common effect of cadmium toxicity. Cadmium that enters the system through the gastrointestinal tract resides in human kidneys with a half-life of 10-20 years (Nordberg et al. 1985). </w:t>
            </w:r>
          </w:p>
          <w:p w14:paraId="27877DD9"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Mercury is the most prevalent toxic metal found in e-waste. It is in circuit boards, switches, medical equipment, lamps, mobile phones, and batteries. Mercury transforms into methylmercury in water, where it can accumulate in living organisms, typically via fish, </w:t>
            </w:r>
            <w:r w:rsidRPr="007A61FA">
              <w:rPr>
                <w:rFonts w:ascii="Cambria" w:hAnsi="Cambria"/>
                <w:color w:val="333333"/>
              </w:rPr>
              <w:lastRenderedPageBreak/>
              <w:t xml:space="preserve">concentrating in large fish and humans at the top of the food chain (Puckett et al. 2002: 11). Mercury is readily absorbed by the human body, ultimately inhibiting enzymatic </w:t>
            </w:r>
            <w:proofErr w:type="gramStart"/>
            <w:r w:rsidRPr="007A61FA">
              <w:rPr>
                <w:rFonts w:ascii="Cambria" w:hAnsi="Cambria"/>
                <w:color w:val="333333"/>
              </w:rPr>
              <w:t>activity</w:t>
            </w:r>
            <w:proofErr w:type="gramEnd"/>
            <w:r w:rsidRPr="007A61FA">
              <w:rPr>
                <w:rFonts w:ascii="Cambria" w:hAnsi="Cambria"/>
                <w:color w:val="333333"/>
              </w:rPr>
              <w:t xml:space="preserve"> and leading to cell damage (Boyer et al. 1959). </w:t>
            </w:r>
          </w:p>
          <w:p w14:paraId="13F3A73B"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The most abundant component of e-waste is plastics. Plastics comprise almost twenty-three percent of a typical desktop computer (Microelectronics 1995). They are used for insulation, </w:t>
            </w:r>
            <w:proofErr w:type="gramStart"/>
            <w:r w:rsidRPr="007A61FA">
              <w:rPr>
                <w:rFonts w:ascii="Cambria" w:hAnsi="Cambria"/>
                <w:color w:val="333333"/>
              </w:rPr>
              <w:t>cables</w:t>
            </w:r>
            <w:proofErr w:type="gramEnd"/>
            <w:r w:rsidRPr="007A61FA">
              <w:rPr>
                <w:rFonts w:ascii="Cambria" w:hAnsi="Cambria"/>
                <w:color w:val="333333"/>
              </w:rPr>
              <w:t xml:space="preserve"> and housing for all electronic devices; the variety of products available for recovery complicates the de-manufacturing process. Due to the complex recovery process, large amounts of plastic e-waste are disposed of through landfills, </w:t>
            </w:r>
            <w:proofErr w:type="gramStart"/>
            <w:r w:rsidRPr="007A61FA">
              <w:rPr>
                <w:rFonts w:ascii="Cambria" w:hAnsi="Cambria"/>
                <w:color w:val="333333"/>
              </w:rPr>
              <w:t>incinerators</w:t>
            </w:r>
            <w:proofErr w:type="gramEnd"/>
            <w:r w:rsidRPr="007A61FA">
              <w:rPr>
                <w:rFonts w:ascii="Cambria" w:hAnsi="Cambria"/>
                <w:color w:val="333333"/>
              </w:rPr>
              <w:t xml:space="preserve"> and open burning, allowing toxic substances to leach into the environment. </w:t>
            </w:r>
          </w:p>
          <w:p w14:paraId="05633B29"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b/>
                <w:bCs/>
                <w:color w:val="333333"/>
              </w:rPr>
              <w:t>Case Study: Guiyu, China</w:t>
            </w:r>
            <w:r w:rsidRPr="007A61FA">
              <w:rPr>
                <w:rFonts w:ascii="Cambria" w:hAnsi="Cambria"/>
                <w:color w:val="333333"/>
              </w:rPr>
              <w:t xml:space="preserve"> </w:t>
            </w:r>
          </w:p>
          <w:p w14:paraId="4AE13443"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The town of Guiyu </w:t>
            </w:r>
            <w:proofErr w:type="gramStart"/>
            <w:r w:rsidRPr="007A61FA">
              <w:rPr>
                <w:rFonts w:ascii="Cambria" w:hAnsi="Cambria"/>
                <w:color w:val="333333"/>
              </w:rPr>
              <w:t>is located in</w:t>
            </w:r>
            <w:proofErr w:type="gramEnd"/>
            <w:r w:rsidRPr="007A61FA">
              <w:rPr>
                <w:rFonts w:ascii="Cambria" w:hAnsi="Cambria"/>
                <w:color w:val="333333"/>
              </w:rPr>
              <w:t xml:space="preserve"> the Chaozhou region of the greater Guangdong Province in southeast China. "Since 1995, Guiyu has been transformed from a poor, rural, rice-growing community to a booming e-waste processing center. While rice is still growing in the fields, virtually all of the available building space has given way to providing many hundreds of small and often specialized e-waste recycling shelters and yards" (Puckett et al. 2002: 17). </w:t>
            </w:r>
          </w:p>
          <w:p w14:paraId="3C9EDA2A"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Along with this new e-waste recycling comes serious environmental and occupational health hazards. Hazardous recycling operations include toner sweeping, the open burning of dismantled computers, CRT cracking and dumping, circuit board recycling, acid stripping of chips, and plastic chipping and melting (Puckett et al. 2002: 20). The workers are at risk of inhaling the toxic fumes from the burning of the materials and ingesting contaminated water and food. They may also be exposed to toxins through dermal contact due to the lack of sufficient protective equipment. </w:t>
            </w:r>
          </w:p>
          <w:p w14:paraId="35243F58"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Please see the </w:t>
            </w:r>
            <w:hyperlink r:id="rId22" w:tgtFrame="_blank" w:history="1">
              <w:r w:rsidRPr="007A61FA">
                <w:rPr>
                  <w:rStyle w:val="Hyperlink"/>
                  <w:rFonts w:ascii="Cambria" w:hAnsi="Cambria"/>
                </w:rPr>
                <w:t>Basel Action Network website</w:t>
              </w:r>
            </w:hyperlink>
            <w:r w:rsidRPr="007A61FA">
              <w:rPr>
                <w:rFonts w:ascii="Cambria" w:hAnsi="Cambria"/>
                <w:color w:val="333333"/>
              </w:rPr>
              <w:t xml:space="preserve"> to view a photo gallery of e-waste in Guiyu, China. </w:t>
            </w:r>
          </w:p>
          <w:p w14:paraId="4A9EF4C0" w14:textId="77777777" w:rsidR="007E28C9" w:rsidRPr="007A61FA" w:rsidRDefault="007E28C9" w:rsidP="002E3552">
            <w:pPr>
              <w:pStyle w:val="NormalWeb"/>
              <w:spacing w:after="240" w:afterAutospacing="0" w:line="168" w:lineRule="atLeast"/>
              <w:rPr>
                <w:rFonts w:ascii="Cambria" w:hAnsi="Cambria"/>
                <w:color w:val="333333"/>
              </w:rPr>
            </w:pPr>
            <w:r w:rsidRPr="007A61FA">
              <w:rPr>
                <w:rFonts w:ascii="Cambria" w:hAnsi="Cambria"/>
                <w:color w:val="333333"/>
              </w:rPr>
              <w:t xml:space="preserve">Large amounts of imported e-waste material and process residues never get recycled and are simply dumped in open fields; along riverbanks, ponds, and wetlands; in rivers; and in irrigation ditches (Puckett et al. 2002: 23-24). This indiscriminate dumping has exacerbated contamination of drinking water sources and sediments. Water samples from the </w:t>
            </w:r>
            <w:proofErr w:type="spellStart"/>
            <w:r w:rsidRPr="007A61FA">
              <w:rPr>
                <w:rFonts w:ascii="Cambria" w:hAnsi="Cambria"/>
                <w:color w:val="333333"/>
              </w:rPr>
              <w:t>Liangjiang</w:t>
            </w:r>
            <w:proofErr w:type="spellEnd"/>
            <w:r w:rsidRPr="007A61FA">
              <w:rPr>
                <w:rFonts w:ascii="Cambria" w:hAnsi="Cambria"/>
                <w:color w:val="333333"/>
              </w:rPr>
              <w:t xml:space="preserve"> River outside of Guiyu, China show cadmium and lead levels to be well above World Health Guidelines and EPA Drinking Water Standards (table 1).</w:t>
            </w:r>
          </w:p>
          <w:p w14:paraId="4F204529" w14:textId="77777777" w:rsidR="007E28C9" w:rsidRPr="007A61FA" w:rsidRDefault="007E28C9" w:rsidP="002E3552">
            <w:pPr>
              <w:pStyle w:val="NormalWeb"/>
              <w:spacing w:line="168" w:lineRule="atLeast"/>
              <w:rPr>
                <w:rFonts w:ascii="Cambria" w:hAnsi="Cambria"/>
                <w:color w:val="333333"/>
                <w:lang w:val="nb-NO"/>
              </w:rPr>
            </w:pPr>
            <w:r w:rsidRPr="007A61FA">
              <w:rPr>
                <w:rStyle w:val="Strong"/>
                <w:rFonts w:ascii="Cambria" w:hAnsi="Cambria"/>
                <w:color w:val="333333"/>
              </w:rPr>
              <w:t>Table 1.</w:t>
            </w:r>
            <w:r w:rsidRPr="007A61FA">
              <w:rPr>
                <w:rFonts w:ascii="Cambria" w:hAnsi="Cambria"/>
                <w:color w:val="333333"/>
              </w:rPr>
              <w:t xml:space="preserve"> Guiyu Sample Results and Water Quality Comparison. </w:t>
            </w:r>
            <w:proofErr w:type="spellStart"/>
            <w:r w:rsidRPr="007A61FA">
              <w:rPr>
                <w:rFonts w:ascii="Cambria" w:hAnsi="Cambria"/>
                <w:color w:val="333333"/>
                <w:lang w:val="nb-NO"/>
              </w:rPr>
              <w:t>Adapted</w:t>
            </w:r>
            <w:proofErr w:type="spellEnd"/>
            <w:r w:rsidRPr="007A61FA">
              <w:rPr>
                <w:rFonts w:ascii="Cambria" w:hAnsi="Cambria"/>
                <w:color w:val="333333"/>
                <w:lang w:val="nb-NO"/>
              </w:rPr>
              <w:t xml:space="preserve"> from </w:t>
            </w:r>
            <w:proofErr w:type="spellStart"/>
            <w:r w:rsidRPr="007A61FA">
              <w:rPr>
                <w:rFonts w:ascii="Cambria" w:hAnsi="Cambria"/>
                <w:color w:val="333333"/>
                <w:lang w:val="nb-NO"/>
              </w:rPr>
              <w:t>Puckett</w:t>
            </w:r>
            <w:proofErr w:type="spellEnd"/>
            <w:r w:rsidRPr="007A61FA">
              <w:rPr>
                <w:rFonts w:ascii="Cambria" w:hAnsi="Cambria"/>
                <w:color w:val="333333"/>
                <w:lang w:val="nb-NO"/>
              </w:rPr>
              <w:t xml:space="preserve"> et al., 2002.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5"/>
              <w:gridCol w:w="2248"/>
              <w:gridCol w:w="2248"/>
              <w:gridCol w:w="2619"/>
            </w:tblGrid>
            <w:tr w:rsidR="007E28C9" w:rsidRPr="007A61FA" w14:paraId="07E2E8D6" w14:textId="77777777" w:rsidTr="002E3552">
              <w:trPr>
                <w:tblCellSpacing w:w="15" w:type="dxa"/>
              </w:trPr>
              <w:tc>
                <w:tcPr>
                  <w:tcW w:w="0" w:type="auto"/>
                  <w:vAlign w:val="center"/>
                  <w:hideMark/>
                </w:tcPr>
                <w:p w14:paraId="240A26D0" w14:textId="77777777" w:rsidR="007E28C9" w:rsidRPr="007A61FA" w:rsidRDefault="007E28C9" w:rsidP="002E3552">
                  <w:pPr>
                    <w:rPr>
                      <w:rFonts w:ascii="Cambria" w:hAnsi="Cambria"/>
                      <w:b/>
                      <w:bCs/>
                    </w:rPr>
                  </w:pPr>
                  <w:r w:rsidRPr="007A61FA">
                    <w:rPr>
                      <w:rFonts w:ascii="Cambria" w:hAnsi="Cambria"/>
                      <w:b/>
                      <w:bCs/>
                    </w:rPr>
                    <w:t>Metal</w:t>
                  </w:r>
                </w:p>
              </w:tc>
              <w:tc>
                <w:tcPr>
                  <w:tcW w:w="0" w:type="auto"/>
                  <w:vAlign w:val="center"/>
                  <w:hideMark/>
                </w:tcPr>
                <w:p w14:paraId="347FC923" w14:textId="77777777" w:rsidR="007E28C9" w:rsidRPr="007A61FA" w:rsidRDefault="007E28C9" w:rsidP="002E3552">
                  <w:pPr>
                    <w:jc w:val="center"/>
                    <w:rPr>
                      <w:rFonts w:ascii="Cambria" w:hAnsi="Cambria"/>
                      <w:b/>
                      <w:bCs/>
                      <w:lang w:val="sv-SE"/>
                    </w:rPr>
                  </w:pPr>
                  <w:proofErr w:type="spellStart"/>
                  <w:r w:rsidRPr="007A61FA">
                    <w:rPr>
                      <w:rFonts w:ascii="Cambria" w:hAnsi="Cambria"/>
                      <w:b/>
                      <w:bCs/>
                      <w:lang w:val="sv-SE"/>
                    </w:rPr>
                    <w:t>Liangjiang</w:t>
                  </w:r>
                  <w:proofErr w:type="spellEnd"/>
                  <w:r w:rsidRPr="007A61FA">
                    <w:rPr>
                      <w:rFonts w:ascii="Cambria" w:hAnsi="Cambria"/>
                      <w:b/>
                      <w:bCs/>
                      <w:lang w:val="sv-SE"/>
                    </w:rPr>
                    <w:t xml:space="preserve"> River, </w:t>
                  </w:r>
                  <w:proofErr w:type="spellStart"/>
                  <w:r w:rsidRPr="007A61FA">
                    <w:rPr>
                      <w:rFonts w:ascii="Cambria" w:hAnsi="Cambria"/>
                      <w:b/>
                      <w:bCs/>
                      <w:lang w:val="sv-SE"/>
                    </w:rPr>
                    <w:t>Guiyu</w:t>
                  </w:r>
                  <w:proofErr w:type="spellEnd"/>
                  <w:r w:rsidRPr="007A61FA">
                    <w:rPr>
                      <w:rFonts w:ascii="Cambria" w:hAnsi="Cambria"/>
                      <w:b/>
                      <w:bCs/>
                      <w:lang w:val="sv-SE"/>
                    </w:rPr>
                    <w:t xml:space="preserve"> (mg/L)</w:t>
                  </w:r>
                </w:p>
              </w:tc>
              <w:tc>
                <w:tcPr>
                  <w:tcW w:w="0" w:type="auto"/>
                  <w:vAlign w:val="center"/>
                  <w:hideMark/>
                </w:tcPr>
                <w:p w14:paraId="255419CF" w14:textId="77777777" w:rsidR="007E28C9" w:rsidRPr="007A61FA" w:rsidRDefault="007E28C9" w:rsidP="002E3552">
                  <w:pPr>
                    <w:jc w:val="center"/>
                    <w:rPr>
                      <w:rFonts w:ascii="Cambria" w:hAnsi="Cambria"/>
                      <w:b/>
                      <w:bCs/>
                    </w:rPr>
                  </w:pPr>
                  <w:r w:rsidRPr="007A61FA">
                    <w:rPr>
                      <w:rFonts w:ascii="Cambria" w:hAnsi="Cambria"/>
                      <w:b/>
                      <w:bCs/>
                    </w:rPr>
                    <w:t>World Health Guideline (mg/L)</w:t>
                  </w:r>
                </w:p>
              </w:tc>
              <w:tc>
                <w:tcPr>
                  <w:tcW w:w="0" w:type="auto"/>
                  <w:vAlign w:val="center"/>
                  <w:hideMark/>
                </w:tcPr>
                <w:p w14:paraId="266EE8BA" w14:textId="77777777" w:rsidR="007E28C9" w:rsidRPr="007A61FA" w:rsidRDefault="007E28C9" w:rsidP="002E3552">
                  <w:pPr>
                    <w:jc w:val="center"/>
                    <w:rPr>
                      <w:rFonts w:ascii="Cambria" w:hAnsi="Cambria"/>
                      <w:b/>
                      <w:bCs/>
                    </w:rPr>
                  </w:pPr>
                  <w:r w:rsidRPr="007A61FA">
                    <w:rPr>
                      <w:rFonts w:ascii="Cambria" w:hAnsi="Cambria"/>
                      <w:b/>
                      <w:bCs/>
                    </w:rPr>
                    <w:t>EPA Drinking Water Standard (mg/L)</w:t>
                  </w:r>
                </w:p>
              </w:tc>
            </w:tr>
            <w:tr w:rsidR="007E28C9" w:rsidRPr="007A61FA" w14:paraId="3AE5A5E6" w14:textId="77777777" w:rsidTr="002E3552">
              <w:trPr>
                <w:tblCellSpacing w:w="15" w:type="dxa"/>
              </w:trPr>
              <w:tc>
                <w:tcPr>
                  <w:tcW w:w="0" w:type="auto"/>
                  <w:vAlign w:val="center"/>
                  <w:hideMark/>
                </w:tcPr>
                <w:p w14:paraId="270B153D" w14:textId="77777777" w:rsidR="007E28C9" w:rsidRPr="007A61FA" w:rsidRDefault="007E28C9" w:rsidP="002E3552">
                  <w:pPr>
                    <w:rPr>
                      <w:rFonts w:ascii="Cambria" w:hAnsi="Cambria"/>
                    </w:rPr>
                  </w:pPr>
                  <w:r w:rsidRPr="007A61FA">
                    <w:rPr>
                      <w:rFonts w:ascii="Cambria" w:hAnsi="Cambria"/>
                    </w:rPr>
                    <w:t>Cadmium</w:t>
                  </w:r>
                </w:p>
              </w:tc>
              <w:tc>
                <w:tcPr>
                  <w:tcW w:w="0" w:type="auto"/>
                  <w:vAlign w:val="center"/>
                  <w:hideMark/>
                </w:tcPr>
                <w:p w14:paraId="6F3A812D" w14:textId="77777777" w:rsidR="007E28C9" w:rsidRPr="007A61FA" w:rsidRDefault="007E28C9" w:rsidP="002E3552">
                  <w:pPr>
                    <w:jc w:val="center"/>
                    <w:rPr>
                      <w:rFonts w:ascii="Cambria" w:hAnsi="Cambria"/>
                    </w:rPr>
                  </w:pPr>
                  <w:r w:rsidRPr="007A61FA">
                    <w:rPr>
                      <w:rFonts w:ascii="Cambria" w:hAnsi="Cambria"/>
                    </w:rPr>
                    <w:t>0.01</w:t>
                  </w:r>
                </w:p>
              </w:tc>
              <w:tc>
                <w:tcPr>
                  <w:tcW w:w="0" w:type="auto"/>
                  <w:vAlign w:val="center"/>
                  <w:hideMark/>
                </w:tcPr>
                <w:p w14:paraId="327A8825" w14:textId="77777777" w:rsidR="007E28C9" w:rsidRPr="007A61FA" w:rsidRDefault="007E28C9" w:rsidP="002E3552">
                  <w:pPr>
                    <w:jc w:val="center"/>
                    <w:rPr>
                      <w:rFonts w:ascii="Cambria" w:hAnsi="Cambria"/>
                    </w:rPr>
                  </w:pPr>
                  <w:r w:rsidRPr="007A61FA">
                    <w:rPr>
                      <w:rFonts w:ascii="Cambria" w:hAnsi="Cambria"/>
                    </w:rPr>
                    <w:t>0.003</w:t>
                  </w:r>
                </w:p>
              </w:tc>
              <w:tc>
                <w:tcPr>
                  <w:tcW w:w="0" w:type="auto"/>
                  <w:vAlign w:val="center"/>
                  <w:hideMark/>
                </w:tcPr>
                <w:p w14:paraId="21C5C364" w14:textId="77777777" w:rsidR="007E28C9" w:rsidRPr="007A61FA" w:rsidRDefault="007E28C9" w:rsidP="002E3552">
                  <w:pPr>
                    <w:jc w:val="center"/>
                    <w:rPr>
                      <w:rFonts w:ascii="Cambria" w:hAnsi="Cambria"/>
                    </w:rPr>
                  </w:pPr>
                  <w:r w:rsidRPr="007A61FA">
                    <w:rPr>
                      <w:rFonts w:ascii="Cambria" w:hAnsi="Cambria"/>
                    </w:rPr>
                    <w:t>0.005</w:t>
                  </w:r>
                </w:p>
              </w:tc>
            </w:tr>
            <w:tr w:rsidR="007E28C9" w:rsidRPr="007A61FA" w14:paraId="3EA37FE4" w14:textId="77777777" w:rsidTr="002E3552">
              <w:trPr>
                <w:tblCellSpacing w:w="15" w:type="dxa"/>
              </w:trPr>
              <w:tc>
                <w:tcPr>
                  <w:tcW w:w="0" w:type="auto"/>
                  <w:vAlign w:val="center"/>
                  <w:hideMark/>
                </w:tcPr>
                <w:p w14:paraId="171A48D7" w14:textId="77777777" w:rsidR="007E28C9" w:rsidRPr="007A61FA" w:rsidRDefault="007E28C9" w:rsidP="002E3552">
                  <w:pPr>
                    <w:rPr>
                      <w:rFonts w:ascii="Cambria" w:hAnsi="Cambria"/>
                    </w:rPr>
                  </w:pPr>
                  <w:r w:rsidRPr="007A61FA">
                    <w:rPr>
                      <w:rFonts w:ascii="Cambria" w:hAnsi="Cambria"/>
                    </w:rPr>
                    <w:t>Mercury</w:t>
                  </w:r>
                </w:p>
              </w:tc>
              <w:tc>
                <w:tcPr>
                  <w:tcW w:w="0" w:type="auto"/>
                  <w:vAlign w:val="center"/>
                  <w:hideMark/>
                </w:tcPr>
                <w:p w14:paraId="6669233D" w14:textId="77777777" w:rsidR="007E28C9" w:rsidRPr="007A61FA" w:rsidRDefault="007E28C9" w:rsidP="002E3552">
                  <w:pPr>
                    <w:jc w:val="center"/>
                    <w:rPr>
                      <w:rFonts w:ascii="Cambria" w:hAnsi="Cambria"/>
                    </w:rPr>
                  </w:pPr>
                  <w:r w:rsidRPr="007A61FA">
                    <w:rPr>
                      <w:rFonts w:ascii="Cambria" w:hAnsi="Cambria"/>
                    </w:rPr>
                    <w:t>&lt; 0.001</w:t>
                  </w:r>
                </w:p>
              </w:tc>
              <w:tc>
                <w:tcPr>
                  <w:tcW w:w="0" w:type="auto"/>
                  <w:vAlign w:val="center"/>
                  <w:hideMark/>
                </w:tcPr>
                <w:p w14:paraId="6A79D1C5" w14:textId="77777777" w:rsidR="007E28C9" w:rsidRPr="007A61FA" w:rsidRDefault="007E28C9" w:rsidP="002E3552">
                  <w:pPr>
                    <w:jc w:val="center"/>
                    <w:rPr>
                      <w:rFonts w:ascii="Cambria" w:hAnsi="Cambria"/>
                    </w:rPr>
                  </w:pPr>
                  <w:r w:rsidRPr="007A61FA">
                    <w:rPr>
                      <w:rFonts w:ascii="Cambria" w:hAnsi="Cambria"/>
                    </w:rPr>
                    <w:t>0.001</w:t>
                  </w:r>
                </w:p>
              </w:tc>
              <w:tc>
                <w:tcPr>
                  <w:tcW w:w="0" w:type="auto"/>
                  <w:vAlign w:val="center"/>
                  <w:hideMark/>
                </w:tcPr>
                <w:p w14:paraId="5E716102" w14:textId="77777777" w:rsidR="007E28C9" w:rsidRPr="007A61FA" w:rsidRDefault="007E28C9" w:rsidP="002E3552">
                  <w:pPr>
                    <w:jc w:val="center"/>
                    <w:rPr>
                      <w:rFonts w:ascii="Cambria" w:hAnsi="Cambria"/>
                    </w:rPr>
                  </w:pPr>
                  <w:r w:rsidRPr="007A61FA">
                    <w:rPr>
                      <w:rFonts w:ascii="Cambria" w:hAnsi="Cambria"/>
                    </w:rPr>
                    <w:t>0.002</w:t>
                  </w:r>
                </w:p>
              </w:tc>
            </w:tr>
            <w:tr w:rsidR="007E28C9" w:rsidRPr="007A61FA" w14:paraId="3C4A68F4" w14:textId="77777777" w:rsidTr="002E3552">
              <w:trPr>
                <w:tblCellSpacing w:w="15" w:type="dxa"/>
              </w:trPr>
              <w:tc>
                <w:tcPr>
                  <w:tcW w:w="0" w:type="auto"/>
                  <w:vAlign w:val="center"/>
                  <w:hideMark/>
                </w:tcPr>
                <w:p w14:paraId="216E1277" w14:textId="77777777" w:rsidR="007E28C9" w:rsidRPr="007A61FA" w:rsidRDefault="007E28C9" w:rsidP="002E3552">
                  <w:pPr>
                    <w:rPr>
                      <w:rFonts w:ascii="Cambria" w:hAnsi="Cambria"/>
                    </w:rPr>
                  </w:pPr>
                  <w:r w:rsidRPr="007A61FA">
                    <w:rPr>
                      <w:rFonts w:ascii="Cambria" w:hAnsi="Cambria"/>
                    </w:rPr>
                    <w:t>Lead</w:t>
                  </w:r>
                </w:p>
              </w:tc>
              <w:tc>
                <w:tcPr>
                  <w:tcW w:w="0" w:type="auto"/>
                  <w:vAlign w:val="center"/>
                  <w:hideMark/>
                </w:tcPr>
                <w:p w14:paraId="16C72165" w14:textId="77777777" w:rsidR="007E28C9" w:rsidRPr="007A61FA" w:rsidRDefault="007E28C9" w:rsidP="002E3552">
                  <w:pPr>
                    <w:jc w:val="center"/>
                    <w:rPr>
                      <w:rFonts w:ascii="Cambria" w:hAnsi="Cambria"/>
                    </w:rPr>
                  </w:pPr>
                  <w:r w:rsidRPr="007A61FA">
                    <w:rPr>
                      <w:rFonts w:ascii="Cambria" w:hAnsi="Cambria"/>
                    </w:rPr>
                    <w:t>1.9</w:t>
                  </w:r>
                </w:p>
              </w:tc>
              <w:tc>
                <w:tcPr>
                  <w:tcW w:w="0" w:type="auto"/>
                  <w:vAlign w:val="center"/>
                  <w:hideMark/>
                </w:tcPr>
                <w:p w14:paraId="7058E213" w14:textId="77777777" w:rsidR="007E28C9" w:rsidRPr="007A61FA" w:rsidRDefault="007E28C9" w:rsidP="002E3552">
                  <w:pPr>
                    <w:jc w:val="center"/>
                    <w:rPr>
                      <w:rFonts w:ascii="Cambria" w:hAnsi="Cambria"/>
                    </w:rPr>
                  </w:pPr>
                  <w:r w:rsidRPr="007A61FA">
                    <w:rPr>
                      <w:rFonts w:ascii="Cambria" w:hAnsi="Cambria"/>
                    </w:rPr>
                    <w:t>0.01</w:t>
                  </w:r>
                </w:p>
              </w:tc>
              <w:tc>
                <w:tcPr>
                  <w:tcW w:w="0" w:type="auto"/>
                  <w:vAlign w:val="center"/>
                  <w:hideMark/>
                </w:tcPr>
                <w:p w14:paraId="1CE5F08F" w14:textId="77777777" w:rsidR="007E28C9" w:rsidRPr="007A61FA" w:rsidRDefault="007E28C9" w:rsidP="002E3552">
                  <w:pPr>
                    <w:jc w:val="center"/>
                    <w:rPr>
                      <w:rFonts w:ascii="Cambria" w:hAnsi="Cambria"/>
                    </w:rPr>
                  </w:pPr>
                  <w:r w:rsidRPr="007A61FA">
                    <w:rPr>
                      <w:rFonts w:ascii="Cambria" w:hAnsi="Cambria"/>
                    </w:rPr>
                    <w:t>0.015</w:t>
                  </w:r>
                </w:p>
              </w:tc>
            </w:tr>
          </w:tbl>
          <w:p w14:paraId="0DA92BAA"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b/>
                <w:bCs/>
                <w:color w:val="333333"/>
              </w:rPr>
              <w:t>International, National, and Local Efforts to Eliminate E-waste</w:t>
            </w:r>
            <w:r w:rsidRPr="007A61FA">
              <w:rPr>
                <w:rFonts w:ascii="Cambria" w:hAnsi="Cambria"/>
                <w:color w:val="333333"/>
              </w:rPr>
              <w:t xml:space="preserve"> </w:t>
            </w:r>
          </w:p>
          <w:p w14:paraId="2DFCD620"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The Basel Convention is the leading international authority on regulating the reduction of e-waste. On March 22, 1989 the Basel Convention was established to control "transboundary movements of hazardous wastes and their disposal" between countries (UNEP 1989). Signatories to the Convention are not allowed to import or export any electronic components that may contain toxic chemicals. Currently, there are 167 participants of the Basel </w:t>
            </w:r>
          </w:p>
          <w:p w14:paraId="57AF5A66"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lastRenderedPageBreak/>
              <w:t xml:space="preserve">Convention. Afghanistan, Haiti, and the United States have not yet ratified the document (UNEP 2006). </w:t>
            </w:r>
          </w:p>
          <w:p w14:paraId="7D2BCD8C"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Since the inception of the Basel Convention, European communities have presented a detailed document that specifies methods for regulating e-waste. The Directive on Waste Electrical and Electronic Equipment, or WEEE Directive, was presented and accepted by the European Parliament on January 27, 2003. The directive's purpose was to prevent e-waste from becoming a problem by reusing or recycling recoverable electrical parts (European Parliament 2003a). An amendment to the original directive forced producers to internalize external costs, such as recycling and proper disposal, instead of burdening the consumer with costs for proper disposal (European Parliament 2003b). </w:t>
            </w:r>
          </w:p>
          <w:p w14:paraId="1479738A"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In 2001, Japan implemented their Specified Home Appliance Recycling Law, which requires manufacturers to take back their electronic products and home appliances (Ministry of the Environment 2005). The national law also makes it illegal to dump any electronic waste or home appliance in municipal landfills or roadsides (Ministry of the Environment 2005). </w:t>
            </w:r>
          </w:p>
          <w:p w14:paraId="12523C65"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In 2003, the Organization for Economic Co-operation and Development (OECD) completed the Environmentally Sound Management of Waste report, which advises countries on collecting, disposing, storing, and recovering their hazardous electronic waste (OECD 2003). This report, however, can only make recommendations to waste facilities about environmental management systems; auditing environment, </w:t>
            </w:r>
            <w:proofErr w:type="gramStart"/>
            <w:r w:rsidRPr="007A61FA">
              <w:rPr>
                <w:rFonts w:ascii="Cambria" w:hAnsi="Cambria"/>
                <w:color w:val="333333"/>
              </w:rPr>
              <w:t>health</w:t>
            </w:r>
            <w:proofErr w:type="gramEnd"/>
            <w:r w:rsidRPr="007A61FA">
              <w:rPr>
                <w:rFonts w:ascii="Cambria" w:hAnsi="Cambria"/>
                <w:color w:val="333333"/>
              </w:rPr>
              <w:t xml:space="preserve"> and safety measures; and monitoring and recording emissions and waste generation (OECD 2003). The report cannot force countries to implement these measures. </w:t>
            </w:r>
          </w:p>
          <w:p w14:paraId="77E39833"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In North America, The Commission for Environmental Cooperation created a proposal in 2004 </w:t>
            </w:r>
            <w:proofErr w:type="gramStart"/>
            <w:r w:rsidRPr="007A61FA">
              <w:rPr>
                <w:rFonts w:ascii="Cambria" w:hAnsi="Cambria"/>
                <w:color w:val="333333"/>
              </w:rPr>
              <w:t>similar to</w:t>
            </w:r>
            <w:proofErr w:type="gramEnd"/>
            <w:r w:rsidRPr="007A61FA">
              <w:rPr>
                <w:rFonts w:ascii="Cambria" w:hAnsi="Cambria"/>
                <w:color w:val="333333"/>
              </w:rPr>
              <w:t xml:space="preserve"> the WEEE Directive that was introduced in Europe. The proposal was not well-received by electronics-related industries (EPA 2004). Adoption of the proposal to the Commission did not take place (EPA 2004), meaning that it is still legal to allow U.S. export of hazardous e-waste (Puckett et al. 2002: 6). </w:t>
            </w:r>
          </w:p>
          <w:p w14:paraId="7152CE7E" w14:textId="77777777" w:rsidR="007E28C9" w:rsidRPr="007A61FA" w:rsidRDefault="007E28C9" w:rsidP="002E3552">
            <w:pPr>
              <w:pStyle w:val="NormalWeb"/>
              <w:spacing w:line="168" w:lineRule="atLeast"/>
              <w:rPr>
                <w:rFonts w:ascii="Cambria" w:hAnsi="Cambria"/>
                <w:color w:val="333333"/>
              </w:rPr>
            </w:pPr>
            <w:r w:rsidRPr="007A61FA">
              <w:rPr>
                <w:rStyle w:val="Strong"/>
                <w:rFonts w:ascii="Cambria" w:hAnsi="Cambria"/>
                <w:color w:val="333333"/>
              </w:rPr>
              <w:t>Table 2.</w:t>
            </w:r>
            <w:r w:rsidRPr="007A61FA">
              <w:rPr>
                <w:rFonts w:ascii="Cambria" w:hAnsi="Cambria"/>
                <w:color w:val="333333"/>
              </w:rPr>
              <w:t xml:space="preserve"> International Efforts in Reducing E-Waste.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3"/>
              <w:gridCol w:w="1746"/>
              <w:gridCol w:w="2350"/>
              <w:gridCol w:w="896"/>
              <w:gridCol w:w="1235"/>
            </w:tblGrid>
            <w:tr w:rsidR="007E28C9" w:rsidRPr="007A61FA" w14:paraId="370CE362" w14:textId="77777777" w:rsidTr="002E3552">
              <w:trPr>
                <w:tblCellSpacing w:w="15" w:type="dxa"/>
              </w:trPr>
              <w:tc>
                <w:tcPr>
                  <w:tcW w:w="0" w:type="auto"/>
                  <w:vAlign w:val="center"/>
                  <w:hideMark/>
                </w:tcPr>
                <w:p w14:paraId="10C89C41" w14:textId="77777777" w:rsidR="007E28C9" w:rsidRPr="007A61FA" w:rsidRDefault="007E28C9" w:rsidP="002E3552">
                  <w:pPr>
                    <w:rPr>
                      <w:rFonts w:ascii="Cambria" w:hAnsi="Cambria"/>
                      <w:b/>
                      <w:bCs/>
                    </w:rPr>
                  </w:pPr>
                  <w:r w:rsidRPr="007A61FA">
                    <w:rPr>
                      <w:rFonts w:ascii="Cambria" w:hAnsi="Cambria"/>
                      <w:b/>
                      <w:bCs/>
                    </w:rPr>
                    <w:t>Participating Countries</w:t>
                  </w:r>
                </w:p>
              </w:tc>
              <w:tc>
                <w:tcPr>
                  <w:tcW w:w="0" w:type="auto"/>
                  <w:vAlign w:val="center"/>
                  <w:hideMark/>
                </w:tcPr>
                <w:p w14:paraId="7B1F336A" w14:textId="77777777" w:rsidR="007E28C9" w:rsidRPr="007A61FA" w:rsidRDefault="007E28C9" w:rsidP="002E3552">
                  <w:pPr>
                    <w:jc w:val="center"/>
                    <w:rPr>
                      <w:rFonts w:ascii="Cambria" w:hAnsi="Cambria"/>
                      <w:b/>
                      <w:bCs/>
                    </w:rPr>
                  </w:pPr>
                  <w:r w:rsidRPr="007A61FA">
                    <w:rPr>
                      <w:rFonts w:ascii="Cambria" w:hAnsi="Cambria"/>
                      <w:b/>
                      <w:bCs/>
                    </w:rPr>
                    <w:t>Governing Body</w:t>
                  </w:r>
                </w:p>
              </w:tc>
              <w:tc>
                <w:tcPr>
                  <w:tcW w:w="0" w:type="auto"/>
                  <w:vAlign w:val="center"/>
                  <w:hideMark/>
                </w:tcPr>
                <w:p w14:paraId="7704667C" w14:textId="77777777" w:rsidR="007E28C9" w:rsidRPr="007A61FA" w:rsidRDefault="007E28C9" w:rsidP="002E3552">
                  <w:pPr>
                    <w:jc w:val="center"/>
                    <w:rPr>
                      <w:rFonts w:ascii="Cambria" w:hAnsi="Cambria"/>
                      <w:b/>
                      <w:bCs/>
                    </w:rPr>
                  </w:pPr>
                  <w:r w:rsidRPr="007A61FA">
                    <w:rPr>
                      <w:rFonts w:ascii="Cambria" w:hAnsi="Cambria"/>
                      <w:b/>
                      <w:bCs/>
                    </w:rPr>
                    <w:t>Initiative</w:t>
                  </w:r>
                </w:p>
              </w:tc>
              <w:tc>
                <w:tcPr>
                  <w:tcW w:w="0" w:type="auto"/>
                  <w:vAlign w:val="center"/>
                  <w:hideMark/>
                </w:tcPr>
                <w:p w14:paraId="7EDCA259" w14:textId="77777777" w:rsidR="007E28C9" w:rsidRPr="007A61FA" w:rsidRDefault="007E28C9" w:rsidP="002E3552">
                  <w:pPr>
                    <w:jc w:val="center"/>
                    <w:rPr>
                      <w:rFonts w:ascii="Cambria" w:hAnsi="Cambria"/>
                      <w:b/>
                      <w:bCs/>
                    </w:rPr>
                  </w:pPr>
                  <w:r w:rsidRPr="007A61FA">
                    <w:rPr>
                      <w:rFonts w:ascii="Cambria" w:hAnsi="Cambria"/>
                      <w:b/>
                      <w:bCs/>
                    </w:rPr>
                    <w:t>Date Adopted</w:t>
                  </w:r>
                </w:p>
              </w:tc>
              <w:tc>
                <w:tcPr>
                  <w:tcW w:w="0" w:type="auto"/>
                  <w:vAlign w:val="center"/>
                  <w:hideMark/>
                </w:tcPr>
                <w:p w14:paraId="714D218C" w14:textId="77777777" w:rsidR="007E28C9" w:rsidRPr="007A61FA" w:rsidRDefault="007E28C9" w:rsidP="002E3552">
                  <w:pPr>
                    <w:jc w:val="center"/>
                    <w:rPr>
                      <w:rFonts w:ascii="Cambria" w:hAnsi="Cambria"/>
                      <w:b/>
                      <w:bCs/>
                    </w:rPr>
                  </w:pPr>
                  <w:r w:rsidRPr="007A61FA">
                    <w:rPr>
                      <w:rFonts w:ascii="Cambria" w:hAnsi="Cambria"/>
                      <w:b/>
                      <w:bCs/>
                    </w:rPr>
                    <w:t>Reference</w:t>
                  </w:r>
                </w:p>
              </w:tc>
            </w:tr>
            <w:tr w:rsidR="007E28C9" w:rsidRPr="007A61FA" w14:paraId="4BFB5A15" w14:textId="77777777" w:rsidTr="002E3552">
              <w:trPr>
                <w:tblCellSpacing w:w="15" w:type="dxa"/>
              </w:trPr>
              <w:tc>
                <w:tcPr>
                  <w:tcW w:w="0" w:type="auto"/>
                  <w:vAlign w:val="center"/>
                  <w:hideMark/>
                </w:tcPr>
                <w:p w14:paraId="047BF342" w14:textId="77777777" w:rsidR="007E28C9" w:rsidRPr="007A61FA" w:rsidRDefault="007E28C9" w:rsidP="002E3552">
                  <w:pPr>
                    <w:rPr>
                      <w:rFonts w:ascii="Cambria" w:hAnsi="Cambria"/>
                    </w:rPr>
                  </w:pPr>
                  <w:r w:rsidRPr="007A61FA">
                    <w:rPr>
                      <w:rFonts w:ascii="Cambria" w:hAnsi="Cambria"/>
                    </w:rPr>
                    <w:t>167 countries of the UN (excluding Afghanistan, Haiti, and the US)</w:t>
                  </w:r>
                </w:p>
              </w:tc>
              <w:tc>
                <w:tcPr>
                  <w:tcW w:w="0" w:type="auto"/>
                  <w:vAlign w:val="center"/>
                  <w:hideMark/>
                </w:tcPr>
                <w:p w14:paraId="222FD77C" w14:textId="77777777" w:rsidR="007E28C9" w:rsidRPr="007A61FA" w:rsidRDefault="007E28C9" w:rsidP="002E3552">
                  <w:pPr>
                    <w:jc w:val="center"/>
                    <w:rPr>
                      <w:rFonts w:ascii="Cambria" w:hAnsi="Cambria"/>
                    </w:rPr>
                  </w:pPr>
                  <w:r w:rsidRPr="007A61FA">
                    <w:rPr>
                      <w:rFonts w:ascii="Cambria" w:hAnsi="Cambria"/>
                    </w:rPr>
                    <w:t>United Nations Environment Programme</w:t>
                  </w:r>
                </w:p>
              </w:tc>
              <w:tc>
                <w:tcPr>
                  <w:tcW w:w="0" w:type="auto"/>
                  <w:vAlign w:val="center"/>
                  <w:hideMark/>
                </w:tcPr>
                <w:p w14:paraId="206A85D8" w14:textId="77777777" w:rsidR="007E28C9" w:rsidRPr="007A61FA" w:rsidRDefault="007E28C9" w:rsidP="002E3552">
                  <w:pPr>
                    <w:jc w:val="center"/>
                    <w:rPr>
                      <w:rFonts w:ascii="Cambria" w:hAnsi="Cambria"/>
                    </w:rPr>
                  </w:pPr>
                  <w:r w:rsidRPr="007A61FA">
                    <w:rPr>
                      <w:rFonts w:ascii="Cambria" w:hAnsi="Cambria"/>
                      <w:i/>
                      <w:iCs/>
                    </w:rPr>
                    <w:t>Basel Convention</w:t>
                  </w:r>
                  <w:r w:rsidRPr="007A61FA">
                    <w:rPr>
                      <w:rFonts w:ascii="Cambria" w:hAnsi="Cambria"/>
                    </w:rPr>
                    <w:t>: No transboundary movement of hazardous waste</w:t>
                  </w:r>
                </w:p>
              </w:tc>
              <w:tc>
                <w:tcPr>
                  <w:tcW w:w="0" w:type="auto"/>
                  <w:vAlign w:val="center"/>
                  <w:hideMark/>
                </w:tcPr>
                <w:p w14:paraId="319D621F" w14:textId="77777777" w:rsidR="007E28C9" w:rsidRPr="007A61FA" w:rsidRDefault="007E28C9" w:rsidP="002E3552">
                  <w:pPr>
                    <w:jc w:val="center"/>
                    <w:rPr>
                      <w:rFonts w:ascii="Cambria" w:hAnsi="Cambria"/>
                    </w:rPr>
                  </w:pPr>
                  <w:r w:rsidRPr="007A61FA">
                    <w:rPr>
                      <w:rFonts w:ascii="Cambria" w:hAnsi="Cambria"/>
                    </w:rPr>
                    <w:t>1989</w:t>
                  </w:r>
                </w:p>
              </w:tc>
              <w:tc>
                <w:tcPr>
                  <w:tcW w:w="0" w:type="auto"/>
                  <w:vAlign w:val="center"/>
                  <w:hideMark/>
                </w:tcPr>
                <w:p w14:paraId="7DCA1101" w14:textId="77777777" w:rsidR="007E28C9" w:rsidRPr="007A61FA" w:rsidRDefault="007E28C9" w:rsidP="002E3552">
                  <w:pPr>
                    <w:jc w:val="center"/>
                    <w:rPr>
                      <w:rFonts w:ascii="Cambria" w:hAnsi="Cambria"/>
                    </w:rPr>
                  </w:pPr>
                  <w:r w:rsidRPr="007A61FA">
                    <w:rPr>
                      <w:rFonts w:ascii="Cambria" w:hAnsi="Cambria"/>
                    </w:rPr>
                    <w:t>(UNEP, 1989)</w:t>
                  </w:r>
                </w:p>
              </w:tc>
            </w:tr>
            <w:tr w:rsidR="007E28C9" w:rsidRPr="007A61FA" w14:paraId="2672D4A9" w14:textId="77777777" w:rsidTr="002E3552">
              <w:trPr>
                <w:tblCellSpacing w:w="15" w:type="dxa"/>
              </w:trPr>
              <w:tc>
                <w:tcPr>
                  <w:tcW w:w="0" w:type="auto"/>
                  <w:vAlign w:val="center"/>
                  <w:hideMark/>
                </w:tcPr>
                <w:p w14:paraId="04BBC840" w14:textId="77777777" w:rsidR="007E28C9" w:rsidRPr="007A61FA" w:rsidRDefault="007E28C9" w:rsidP="002E3552">
                  <w:pPr>
                    <w:rPr>
                      <w:rFonts w:ascii="Cambria" w:hAnsi="Cambria"/>
                    </w:rPr>
                  </w:pPr>
                  <w:r w:rsidRPr="007A61FA">
                    <w:rPr>
                      <w:rFonts w:ascii="Cambria" w:hAnsi="Cambria"/>
                    </w:rPr>
                    <w:t>The European Union</w:t>
                  </w:r>
                </w:p>
              </w:tc>
              <w:tc>
                <w:tcPr>
                  <w:tcW w:w="0" w:type="auto"/>
                  <w:vAlign w:val="center"/>
                  <w:hideMark/>
                </w:tcPr>
                <w:p w14:paraId="32FDF2F4" w14:textId="77777777" w:rsidR="007E28C9" w:rsidRPr="007A61FA" w:rsidRDefault="007E28C9" w:rsidP="002E3552">
                  <w:pPr>
                    <w:jc w:val="center"/>
                    <w:rPr>
                      <w:rFonts w:ascii="Cambria" w:hAnsi="Cambria"/>
                    </w:rPr>
                  </w:pPr>
                  <w:r w:rsidRPr="007A61FA">
                    <w:rPr>
                      <w:rFonts w:ascii="Cambria" w:hAnsi="Cambria"/>
                    </w:rPr>
                    <w:t>European Parliament</w:t>
                  </w:r>
                </w:p>
              </w:tc>
              <w:tc>
                <w:tcPr>
                  <w:tcW w:w="0" w:type="auto"/>
                  <w:vAlign w:val="center"/>
                  <w:hideMark/>
                </w:tcPr>
                <w:p w14:paraId="535E3ADA" w14:textId="77777777" w:rsidR="007E28C9" w:rsidRPr="007A61FA" w:rsidRDefault="007E28C9" w:rsidP="002E3552">
                  <w:pPr>
                    <w:jc w:val="center"/>
                    <w:rPr>
                      <w:rFonts w:ascii="Cambria" w:hAnsi="Cambria"/>
                    </w:rPr>
                  </w:pPr>
                  <w:r w:rsidRPr="007A61FA">
                    <w:rPr>
                      <w:rFonts w:ascii="Cambria" w:hAnsi="Cambria"/>
                      <w:i/>
                      <w:iCs/>
                    </w:rPr>
                    <w:t>WEEE Directive</w:t>
                  </w:r>
                  <w:r w:rsidRPr="007A61FA">
                    <w:rPr>
                      <w:rFonts w:ascii="Cambria" w:hAnsi="Cambria"/>
                    </w:rPr>
                    <w:t>: Reuse/recycle electronic parts; manufacturers internalize take back/recycling costs</w:t>
                  </w:r>
                </w:p>
              </w:tc>
              <w:tc>
                <w:tcPr>
                  <w:tcW w:w="0" w:type="auto"/>
                  <w:vAlign w:val="center"/>
                  <w:hideMark/>
                </w:tcPr>
                <w:p w14:paraId="6104B095" w14:textId="77777777" w:rsidR="007E28C9" w:rsidRPr="007A61FA" w:rsidRDefault="007E28C9" w:rsidP="002E3552">
                  <w:pPr>
                    <w:jc w:val="center"/>
                    <w:rPr>
                      <w:rFonts w:ascii="Cambria" w:hAnsi="Cambria"/>
                    </w:rPr>
                  </w:pPr>
                  <w:r w:rsidRPr="007A61FA">
                    <w:rPr>
                      <w:rFonts w:ascii="Cambria" w:hAnsi="Cambria"/>
                    </w:rPr>
                    <w:t>2003</w:t>
                  </w:r>
                </w:p>
              </w:tc>
              <w:tc>
                <w:tcPr>
                  <w:tcW w:w="0" w:type="auto"/>
                  <w:vAlign w:val="center"/>
                  <w:hideMark/>
                </w:tcPr>
                <w:p w14:paraId="0BF739D8" w14:textId="77777777" w:rsidR="007E28C9" w:rsidRPr="007A61FA" w:rsidRDefault="007E28C9" w:rsidP="002E3552">
                  <w:pPr>
                    <w:jc w:val="center"/>
                    <w:rPr>
                      <w:rFonts w:ascii="Cambria" w:hAnsi="Cambria"/>
                    </w:rPr>
                  </w:pPr>
                  <w:r w:rsidRPr="007A61FA">
                    <w:rPr>
                      <w:rFonts w:ascii="Cambria" w:hAnsi="Cambria"/>
                    </w:rPr>
                    <w:t>(European Parliament, 2003)</w:t>
                  </w:r>
                </w:p>
              </w:tc>
            </w:tr>
            <w:tr w:rsidR="007E28C9" w:rsidRPr="007A61FA" w14:paraId="5E4231F5" w14:textId="77777777" w:rsidTr="002E3552">
              <w:trPr>
                <w:tblCellSpacing w:w="15" w:type="dxa"/>
              </w:trPr>
              <w:tc>
                <w:tcPr>
                  <w:tcW w:w="0" w:type="auto"/>
                  <w:vAlign w:val="center"/>
                  <w:hideMark/>
                </w:tcPr>
                <w:p w14:paraId="1E550BEC" w14:textId="77777777" w:rsidR="007E28C9" w:rsidRPr="007A61FA" w:rsidRDefault="007E28C9" w:rsidP="002E3552">
                  <w:pPr>
                    <w:rPr>
                      <w:rFonts w:ascii="Cambria" w:hAnsi="Cambria"/>
                    </w:rPr>
                  </w:pPr>
                  <w:r w:rsidRPr="007A61FA">
                    <w:rPr>
                      <w:rFonts w:ascii="Cambria" w:hAnsi="Cambria"/>
                    </w:rPr>
                    <w:t>Japan</w:t>
                  </w:r>
                </w:p>
              </w:tc>
              <w:tc>
                <w:tcPr>
                  <w:tcW w:w="0" w:type="auto"/>
                  <w:vAlign w:val="center"/>
                  <w:hideMark/>
                </w:tcPr>
                <w:p w14:paraId="3FB71CE0" w14:textId="77777777" w:rsidR="007E28C9" w:rsidRPr="007A61FA" w:rsidRDefault="007E28C9" w:rsidP="002E3552">
                  <w:pPr>
                    <w:jc w:val="center"/>
                    <w:rPr>
                      <w:rFonts w:ascii="Cambria" w:hAnsi="Cambria"/>
                    </w:rPr>
                  </w:pPr>
                  <w:r w:rsidRPr="007A61FA">
                    <w:rPr>
                      <w:rFonts w:ascii="Cambria" w:hAnsi="Cambria"/>
                    </w:rPr>
                    <w:t>Ministry of the Environment, Government of Japan</w:t>
                  </w:r>
                </w:p>
              </w:tc>
              <w:tc>
                <w:tcPr>
                  <w:tcW w:w="0" w:type="auto"/>
                  <w:vAlign w:val="center"/>
                  <w:hideMark/>
                </w:tcPr>
                <w:p w14:paraId="6EDB836E" w14:textId="77777777" w:rsidR="007E28C9" w:rsidRPr="007A61FA" w:rsidRDefault="007E28C9" w:rsidP="002E3552">
                  <w:pPr>
                    <w:jc w:val="center"/>
                    <w:rPr>
                      <w:rFonts w:ascii="Cambria" w:hAnsi="Cambria"/>
                    </w:rPr>
                  </w:pPr>
                  <w:r w:rsidRPr="007A61FA">
                    <w:rPr>
                      <w:rFonts w:ascii="Cambria" w:hAnsi="Cambria"/>
                      <w:i/>
                      <w:iCs/>
                    </w:rPr>
                    <w:t>Home Appliance Recycling Law</w:t>
                  </w:r>
                  <w:r w:rsidRPr="007A61FA">
                    <w:rPr>
                      <w:rFonts w:ascii="Cambria" w:hAnsi="Cambria"/>
                    </w:rPr>
                    <w:t>: Home appliance manufacturers must take back and recycle end-use products</w:t>
                  </w:r>
                </w:p>
              </w:tc>
              <w:tc>
                <w:tcPr>
                  <w:tcW w:w="0" w:type="auto"/>
                  <w:vAlign w:val="center"/>
                  <w:hideMark/>
                </w:tcPr>
                <w:p w14:paraId="764E0CCB" w14:textId="77777777" w:rsidR="007E28C9" w:rsidRPr="007A61FA" w:rsidRDefault="007E28C9" w:rsidP="002E3552">
                  <w:pPr>
                    <w:jc w:val="center"/>
                    <w:rPr>
                      <w:rFonts w:ascii="Cambria" w:hAnsi="Cambria"/>
                    </w:rPr>
                  </w:pPr>
                  <w:r w:rsidRPr="007A61FA">
                    <w:rPr>
                      <w:rFonts w:ascii="Cambria" w:hAnsi="Cambria"/>
                    </w:rPr>
                    <w:t>2001</w:t>
                  </w:r>
                </w:p>
              </w:tc>
              <w:tc>
                <w:tcPr>
                  <w:tcW w:w="0" w:type="auto"/>
                  <w:vAlign w:val="center"/>
                  <w:hideMark/>
                </w:tcPr>
                <w:p w14:paraId="2B4DAF13" w14:textId="77777777" w:rsidR="007E28C9" w:rsidRPr="007A61FA" w:rsidRDefault="007E28C9" w:rsidP="002E3552">
                  <w:pPr>
                    <w:jc w:val="center"/>
                    <w:rPr>
                      <w:rFonts w:ascii="Cambria" w:hAnsi="Cambria"/>
                    </w:rPr>
                  </w:pPr>
                  <w:r w:rsidRPr="007A61FA">
                    <w:rPr>
                      <w:rFonts w:ascii="Cambria" w:hAnsi="Cambria"/>
                    </w:rPr>
                    <w:t>(EPA, 2004)</w:t>
                  </w:r>
                </w:p>
              </w:tc>
            </w:tr>
            <w:tr w:rsidR="007E28C9" w:rsidRPr="007A61FA" w14:paraId="6F48EEE4" w14:textId="77777777" w:rsidTr="002E3552">
              <w:trPr>
                <w:tblCellSpacing w:w="15" w:type="dxa"/>
              </w:trPr>
              <w:tc>
                <w:tcPr>
                  <w:tcW w:w="0" w:type="auto"/>
                  <w:vAlign w:val="center"/>
                  <w:hideMark/>
                </w:tcPr>
                <w:p w14:paraId="2C837DD7" w14:textId="77777777" w:rsidR="007E28C9" w:rsidRPr="007A61FA" w:rsidRDefault="007E28C9" w:rsidP="002E3552">
                  <w:pPr>
                    <w:rPr>
                      <w:rFonts w:ascii="Cambria" w:hAnsi="Cambria"/>
                    </w:rPr>
                  </w:pPr>
                  <w:r w:rsidRPr="007A61FA">
                    <w:rPr>
                      <w:rFonts w:ascii="Cambria" w:hAnsi="Cambria"/>
                    </w:rPr>
                    <w:t>Intended for OECD countries</w:t>
                  </w:r>
                </w:p>
              </w:tc>
              <w:tc>
                <w:tcPr>
                  <w:tcW w:w="0" w:type="auto"/>
                  <w:vAlign w:val="center"/>
                  <w:hideMark/>
                </w:tcPr>
                <w:p w14:paraId="4B7F61EB" w14:textId="77777777" w:rsidR="007E28C9" w:rsidRPr="007A61FA" w:rsidRDefault="007E28C9" w:rsidP="002E3552">
                  <w:pPr>
                    <w:jc w:val="center"/>
                    <w:rPr>
                      <w:rFonts w:ascii="Cambria" w:hAnsi="Cambria"/>
                    </w:rPr>
                  </w:pPr>
                  <w:r w:rsidRPr="007A61FA">
                    <w:rPr>
                      <w:rFonts w:ascii="Cambria" w:hAnsi="Cambria"/>
                    </w:rPr>
                    <w:t>Organization for Economic Co-operation and Development (OECD)</w:t>
                  </w:r>
                </w:p>
              </w:tc>
              <w:tc>
                <w:tcPr>
                  <w:tcW w:w="0" w:type="auto"/>
                  <w:vAlign w:val="center"/>
                  <w:hideMark/>
                </w:tcPr>
                <w:p w14:paraId="70DC52C7" w14:textId="77777777" w:rsidR="007E28C9" w:rsidRPr="007A61FA" w:rsidRDefault="007E28C9" w:rsidP="002E3552">
                  <w:pPr>
                    <w:jc w:val="center"/>
                    <w:rPr>
                      <w:rFonts w:ascii="Cambria" w:hAnsi="Cambria"/>
                    </w:rPr>
                  </w:pPr>
                  <w:r w:rsidRPr="007A61FA">
                    <w:rPr>
                      <w:rFonts w:ascii="Cambria" w:hAnsi="Cambria"/>
                      <w:i/>
                      <w:iCs/>
                    </w:rPr>
                    <w:t>Environmentally Sound Management of Waste</w:t>
                  </w:r>
                  <w:r w:rsidRPr="007A61FA">
                    <w:rPr>
                      <w:rFonts w:ascii="Cambria" w:hAnsi="Cambria"/>
                    </w:rPr>
                    <w:t>: Reclaim e-waste</w:t>
                  </w:r>
                </w:p>
              </w:tc>
              <w:tc>
                <w:tcPr>
                  <w:tcW w:w="0" w:type="auto"/>
                  <w:vAlign w:val="center"/>
                  <w:hideMark/>
                </w:tcPr>
                <w:p w14:paraId="4F609766" w14:textId="77777777" w:rsidR="007E28C9" w:rsidRPr="007A61FA" w:rsidRDefault="007E28C9" w:rsidP="002E3552">
                  <w:pPr>
                    <w:jc w:val="center"/>
                    <w:rPr>
                      <w:rFonts w:ascii="Cambria" w:hAnsi="Cambria"/>
                    </w:rPr>
                  </w:pPr>
                  <w:r w:rsidRPr="007A61FA">
                    <w:rPr>
                      <w:rFonts w:ascii="Cambria" w:hAnsi="Cambria"/>
                    </w:rPr>
                    <w:t>2003</w:t>
                  </w:r>
                </w:p>
              </w:tc>
              <w:tc>
                <w:tcPr>
                  <w:tcW w:w="0" w:type="auto"/>
                  <w:vAlign w:val="center"/>
                  <w:hideMark/>
                </w:tcPr>
                <w:p w14:paraId="479D0EAD" w14:textId="77777777" w:rsidR="007E28C9" w:rsidRPr="007A61FA" w:rsidRDefault="007E28C9" w:rsidP="002E3552">
                  <w:pPr>
                    <w:jc w:val="center"/>
                    <w:rPr>
                      <w:rFonts w:ascii="Cambria" w:hAnsi="Cambria"/>
                    </w:rPr>
                  </w:pPr>
                  <w:r w:rsidRPr="007A61FA">
                    <w:rPr>
                      <w:rFonts w:ascii="Cambria" w:hAnsi="Cambria"/>
                    </w:rPr>
                    <w:t>(OECD, 2003)</w:t>
                  </w:r>
                </w:p>
              </w:tc>
            </w:tr>
          </w:tbl>
          <w:p w14:paraId="5C019E2F"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lastRenderedPageBreak/>
              <w:t xml:space="preserve">The U.S. stance on the Basel Convention has not stopped private organizations and local governments within U.S. national boundaries from introducing local policies to regulate electronic equipment. Some corporations have played a proactive role in the e-waste debate by providing electronic recycling programs: Dell, Hewlett-Packard (HP), NEC, Toshiba Gateway, </w:t>
            </w:r>
            <w:proofErr w:type="spellStart"/>
            <w:r w:rsidRPr="007A61FA">
              <w:rPr>
                <w:rFonts w:ascii="Cambria" w:hAnsi="Cambria"/>
                <w:color w:val="333333"/>
              </w:rPr>
              <w:t>eMachines</w:t>
            </w:r>
            <w:proofErr w:type="spellEnd"/>
            <w:r w:rsidRPr="007A61FA">
              <w:rPr>
                <w:rFonts w:ascii="Cambria" w:hAnsi="Cambria"/>
                <w:color w:val="333333"/>
              </w:rPr>
              <w:t>, IBM, and Lexmark for individual consumers, and Xerox and Pitney Bowes for large-scale office equipment customers (SVTC 2004</w:t>
            </w:r>
            <w:proofErr w:type="gramStart"/>
            <w:r w:rsidRPr="007A61FA">
              <w:rPr>
                <w:rFonts w:ascii="Cambria" w:hAnsi="Cambria"/>
                <w:color w:val="333333"/>
              </w:rPr>
              <w:t>a,b</w:t>
            </w:r>
            <w:proofErr w:type="gramEnd"/>
            <w:r w:rsidRPr="007A61FA">
              <w:rPr>
                <w:rFonts w:ascii="Cambria" w:hAnsi="Cambria"/>
                <w:color w:val="333333"/>
              </w:rPr>
              <w:t xml:space="preserve">). The following states have initiatives in place: California passed the 2003 Electronic Waste Recycling Act; in 2000, Massachusetts banned CRTs from landfills; in 2003, Minnesota passed a bill that banned CRT disposal in mixed solid waste; and in 2006, Maine became the first state to force television and computer monitor manufacturers pay for recycling and proper disposal (Associated Press 2005). </w:t>
            </w:r>
          </w:p>
          <w:p w14:paraId="451E4691"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The strictest regulations so far in the U.S. have been passed in Washington state. As of October 1, 2005, it was illegal to dump any used electronics in Seattle or in King County, Washington (Priorities 2006). The King County Solid Waste Division will not accept any electronics in municipal landfills; instead, their Waste Acceptance Rule directs consumers to drop off used electronics to participating Take it Back Network Electronics Recyclers (King County 2005</w:t>
            </w:r>
            <w:proofErr w:type="gramStart"/>
            <w:r w:rsidRPr="007A61FA">
              <w:rPr>
                <w:rFonts w:ascii="Cambria" w:hAnsi="Cambria"/>
                <w:color w:val="333333"/>
              </w:rPr>
              <w:t>a,b</w:t>
            </w:r>
            <w:proofErr w:type="gramEnd"/>
            <w:r w:rsidRPr="007A61FA">
              <w:rPr>
                <w:rFonts w:ascii="Cambria" w:hAnsi="Cambria"/>
                <w:color w:val="333333"/>
              </w:rPr>
              <w:t xml:space="preserve">). Priorities for a Healthy Washington is a state-organized campaign supported by a variety of businesses and public interest groups who are in favor of Senate Bill 6428: Washington State's Electronic Waste Recycling Bill (Priorities 2006). SB 6428 passed on March 6, 2006. Instead of putting the burden on consumers to pay for recycling, this bill expects manufacturers to include electronic recycling fees as part of their own business costs. </w:t>
            </w:r>
          </w:p>
          <w:p w14:paraId="35860C2E"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b/>
                <w:bCs/>
                <w:color w:val="333333"/>
              </w:rPr>
              <w:t>Recommendations</w:t>
            </w:r>
            <w:r w:rsidRPr="007A61FA">
              <w:rPr>
                <w:rFonts w:ascii="Cambria" w:hAnsi="Cambria"/>
                <w:color w:val="333333"/>
              </w:rPr>
              <w:t xml:space="preserve"> </w:t>
            </w:r>
          </w:p>
          <w:p w14:paraId="728E22F0"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color w:val="333333"/>
              </w:rPr>
              <w:t xml:space="preserve">While a few U.S. states have taken the initiative to manage their e-waste, there is no guarantee that the trend will encourage all states to do the same. A national commitment to e-waste regulation should include the ratification of the Basel convention by the United </w:t>
            </w:r>
            <w:proofErr w:type="gramStart"/>
            <w:r w:rsidRPr="007A61FA">
              <w:rPr>
                <w:rFonts w:ascii="Cambria" w:hAnsi="Cambria"/>
                <w:color w:val="333333"/>
              </w:rPr>
              <w:t>States, and</w:t>
            </w:r>
            <w:proofErr w:type="gramEnd"/>
            <w:r w:rsidRPr="007A61FA">
              <w:rPr>
                <w:rFonts w:ascii="Cambria" w:hAnsi="Cambria"/>
                <w:color w:val="333333"/>
              </w:rPr>
              <w:t xml:space="preserve"> expand on existing regulations in federal laws such as the Comprehensive Environmental Response, Compensation, and Liability Act (CERCLA) and the Resource Conservation and Recovery Act (RCRA) by banning hazardous waste exports entirely. Adequate resources need to be allocated for both the implementation and enforcement of e-waste policies. Like the WEEE Directive, there should be a formal document not only banning e-waste creation and trade within U.S. borders, but Canada, Mexico, and the U.S. should also coordinate a formal document that bans e-waste creation and trade within North America. </w:t>
            </w:r>
          </w:p>
          <w:p w14:paraId="51DF5669" w14:textId="77777777" w:rsidR="007E28C9" w:rsidRPr="007A61FA" w:rsidRDefault="007E28C9" w:rsidP="002E3552">
            <w:pPr>
              <w:pStyle w:val="NormalWeb"/>
              <w:spacing w:after="240" w:afterAutospacing="0" w:line="168" w:lineRule="atLeast"/>
              <w:rPr>
                <w:rFonts w:ascii="Cambria" w:hAnsi="Cambria"/>
                <w:color w:val="333333"/>
              </w:rPr>
            </w:pPr>
            <w:r w:rsidRPr="007A61FA">
              <w:rPr>
                <w:rFonts w:ascii="Cambria" w:hAnsi="Cambria"/>
                <w:color w:val="333333"/>
              </w:rPr>
              <w:t xml:space="preserve">In addition to government action, private industry can expand its role in managing e-waste. Recycling is one of many solutions, but it can only play a limited role when hazardous inputs are involved. Product substitutions can be implemented wherever possible in order to reduce the </w:t>
            </w:r>
            <w:proofErr w:type="gramStart"/>
            <w:r w:rsidRPr="007A61FA">
              <w:rPr>
                <w:rFonts w:ascii="Cambria" w:hAnsi="Cambria"/>
                <w:color w:val="333333"/>
              </w:rPr>
              <w:t>amount</w:t>
            </w:r>
            <w:proofErr w:type="gramEnd"/>
            <w:r w:rsidRPr="007A61FA">
              <w:rPr>
                <w:rFonts w:ascii="Cambria" w:hAnsi="Cambria"/>
                <w:color w:val="333333"/>
              </w:rPr>
              <w:t xml:space="preserve"> of poisons in the manufacturing of electronics (SVTC 2004b). Producers can also take the initiative of managing their products over their entire </w:t>
            </w:r>
            <w:proofErr w:type="gramStart"/>
            <w:r w:rsidRPr="007A61FA">
              <w:rPr>
                <w:rFonts w:ascii="Cambria" w:hAnsi="Cambria"/>
                <w:color w:val="333333"/>
              </w:rPr>
              <w:t>life-cycle</w:t>
            </w:r>
            <w:proofErr w:type="gramEnd"/>
            <w:r w:rsidRPr="007A61FA">
              <w:rPr>
                <w:rFonts w:ascii="Cambria" w:hAnsi="Cambria"/>
                <w:color w:val="333333"/>
              </w:rPr>
              <w:t xml:space="preserve">. If manufactures and distributors assumed the responsibility for the costs of collecting, managing, and disposing of discarded electronics, they could be reflected in product prices. The cost of "life-cycle responsibility" could be offset by market incentives for manufacturers of electronics to reduce such costs by designing products that are clean, safe, durable, reusable, repairable, upgradeable, and easy to disassemble and recycle (Puckett et al. 2002: 37). </w:t>
            </w:r>
          </w:p>
          <w:p w14:paraId="0002D27D" w14:textId="77777777" w:rsidR="007E28C9" w:rsidRPr="007A61FA" w:rsidRDefault="007E28C9" w:rsidP="002E3552">
            <w:pPr>
              <w:pStyle w:val="NormalWeb"/>
              <w:spacing w:line="168" w:lineRule="atLeast"/>
              <w:rPr>
                <w:rFonts w:ascii="Cambria" w:hAnsi="Cambria"/>
                <w:color w:val="333333"/>
              </w:rPr>
            </w:pPr>
            <w:r w:rsidRPr="007A61FA">
              <w:rPr>
                <w:rFonts w:ascii="Cambria" w:hAnsi="Cambria"/>
                <w:i/>
                <w:iCs/>
                <w:color w:val="333333"/>
              </w:rPr>
              <w:t>About the author (</w:t>
            </w:r>
            <w:proofErr w:type="gramStart"/>
            <w:r w:rsidRPr="007A61FA">
              <w:rPr>
                <w:rFonts w:ascii="Cambria" w:hAnsi="Cambria"/>
                <w:i/>
                <w:iCs/>
                <w:color w:val="333333"/>
              </w:rPr>
              <w:t>June,</w:t>
            </w:r>
            <w:proofErr w:type="gramEnd"/>
            <w:r w:rsidRPr="007A61FA">
              <w:rPr>
                <w:rFonts w:ascii="Cambria" w:hAnsi="Cambria"/>
                <w:i/>
                <w:iCs/>
                <w:color w:val="333333"/>
              </w:rPr>
              <w:t xml:space="preserve"> 2006): Ms. Nakagawa is a graduate student at the Evergreen State College, earning a Master's degree in Environmental Studies.</w:t>
            </w:r>
          </w:p>
        </w:tc>
      </w:tr>
    </w:tbl>
    <w:p w14:paraId="6611C3EB" w14:textId="77777777" w:rsidR="007E28C9" w:rsidRPr="007A61FA" w:rsidRDefault="007E28C9" w:rsidP="007E28C9">
      <w:pPr>
        <w:rPr>
          <w:rFonts w:ascii="Cambria" w:hAnsi="Cambria"/>
          <w:b/>
          <w:color w:val="FF6600"/>
        </w:rPr>
      </w:pPr>
    </w:p>
    <w:p w14:paraId="5296094D" w14:textId="77777777" w:rsidR="007E28C9" w:rsidRDefault="007E28C9" w:rsidP="007E28C9">
      <w:pPr>
        <w:rPr>
          <w:rFonts w:ascii="Cambria" w:hAnsi="Cambria"/>
          <w:b/>
          <w:color w:val="000000" w:themeColor="text1"/>
          <w:sz w:val="36"/>
          <w:szCs w:val="36"/>
        </w:rPr>
      </w:pPr>
    </w:p>
    <w:p w14:paraId="6479CD40" w14:textId="77777777" w:rsidR="007E28C9" w:rsidRDefault="007E28C9" w:rsidP="007E28C9">
      <w:pPr>
        <w:rPr>
          <w:rFonts w:ascii="Cambria" w:hAnsi="Cambria"/>
          <w:b/>
          <w:color w:val="000000" w:themeColor="text1"/>
          <w:sz w:val="36"/>
          <w:szCs w:val="36"/>
        </w:rPr>
      </w:pPr>
    </w:p>
    <w:p w14:paraId="531AB7D0" w14:textId="77777777" w:rsidR="007E28C9" w:rsidRPr="00BE600B" w:rsidRDefault="007E28C9" w:rsidP="007E28C9">
      <w:pPr>
        <w:rPr>
          <w:rFonts w:ascii="Calibri" w:hAnsi="Calibri"/>
          <w:b/>
          <w:color w:val="48B49F"/>
          <w:sz w:val="44"/>
          <w:szCs w:val="44"/>
        </w:rPr>
      </w:pPr>
      <w:r w:rsidRPr="00BE600B">
        <w:rPr>
          <w:rFonts w:ascii="Calibri" w:hAnsi="Calibri"/>
          <w:b/>
          <w:color w:val="48B49F"/>
          <w:sz w:val="44"/>
          <w:szCs w:val="44"/>
        </w:rPr>
        <w:lastRenderedPageBreak/>
        <w:t>Teacher Background Information</w:t>
      </w:r>
    </w:p>
    <w:p w14:paraId="430A81FA" w14:textId="77777777" w:rsidR="007E28C9" w:rsidRPr="007A61FA" w:rsidRDefault="007E28C9" w:rsidP="007E28C9">
      <w:pPr>
        <w:rPr>
          <w:rFonts w:ascii="Cambria" w:hAnsi="Cambria"/>
          <w:b/>
          <w:color w:val="FF6600"/>
        </w:rPr>
      </w:pPr>
    </w:p>
    <w:p w14:paraId="05291E61" w14:textId="77777777" w:rsidR="007E28C9" w:rsidRPr="007A61FA" w:rsidRDefault="007E28C9" w:rsidP="007E28C9">
      <w:pPr>
        <w:rPr>
          <w:rFonts w:ascii="Cambria" w:hAnsi="Cambria"/>
        </w:rPr>
      </w:pPr>
      <w:r w:rsidRPr="007A61FA">
        <w:rPr>
          <w:rFonts w:ascii="Cambria" w:hAnsi="Cambria"/>
        </w:rPr>
        <w:t xml:space="preserve">This lesson is based on research and development currently underway at the Warner-Babcock Institute for Green Chemistry. The material VBT is a product of the Warner-Babcock Institute for Green Chemistry and is unavailable for purchase by teachers. Beyond Benign is working to create a teaching kit that includes the material which may be available at </w:t>
      </w:r>
      <w:hyperlink r:id="rId23" w:history="1">
        <w:r w:rsidRPr="007A61FA">
          <w:rPr>
            <w:rStyle w:val="Hyperlink"/>
            <w:rFonts w:ascii="Cambria" w:hAnsi="Cambria"/>
          </w:rPr>
          <w:t>www.beyondbenign.org</w:t>
        </w:r>
      </w:hyperlink>
      <w:r w:rsidRPr="007A61FA">
        <w:rPr>
          <w:rFonts w:ascii="Cambria" w:hAnsi="Cambria"/>
        </w:rPr>
        <w:t xml:space="preserve"> </w:t>
      </w:r>
      <w:proofErr w:type="gramStart"/>
      <w:r w:rsidRPr="007A61FA">
        <w:rPr>
          <w:rFonts w:ascii="Cambria" w:hAnsi="Cambria"/>
        </w:rPr>
        <w:t>in the near future</w:t>
      </w:r>
      <w:proofErr w:type="gramEnd"/>
      <w:r w:rsidRPr="007A61FA">
        <w:rPr>
          <w:rFonts w:ascii="Cambria" w:hAnsi="Cambria"/>
        </w:rPr>
        <w:t>.</w:t>
      </w:r>
    </w:p>
    <w:p w14:paraId="157F1874" w14:textId="77777777" w:rsidR="007E28C9" w:rsidRPr="007A61FA" w:rsidRDefault="007E28C9" w:rsidP="007E28C9">
      <w:pPr>
        <w:rPr>
          <w:rFonts w:ascii="Cambria" w:hAnsi="Cambria"/>
        </w:rPr>
      </w:pPr>
    </w:p>
    <w:p w14:paraId="47D9C9DF" w14:textId="77777777" w:rsidR="007E28C9" w:rsidRPr="007A61FA" w:rsidRDefault="007E28C9" w:rsidP="007E28C9">
      <w:pPr>
        <w:rPr>
          <w:rFonts w:ascii="Cambria" w:hAnsi="Cambria"/>
        </w:rPr>
      </w:pPr>
      <w:r w:rsidRPr="007A61FA">
        <w:rPr>
          <w:rFonts w:ascii="Cambria" w:hAnsi="Cambria"/>
        </w:rPr>
        <w:t>A great deal of information has emerged recently on the risks of exposing unprotected skin to too much sunlight. Several causes have been proposed for this cellular damage. One mechanism involves the reaction of DNA with UV light. One of the heterocyclic bases of DNA, thymine, has been linked to this photoreaction.</w:t>
      </w:r>
    </w:p>
    <w:p w14:paraId="09223E8A" w14:textId="77777777" w:rsidR="007E28C9" w:rsidRPr="007A61FA" w:rsidRDefault="007E28C9" w:rsidP="007E28C9">
      <w:pPr>
        <w:rPr>
          <w:rFonts w:ascii="Cambria" w:hAnsi="Cambria"/>
        </w:rPr>
      </w:pPr>
      <w:r w:rsidRPr="007A61FA">
        <w:rPr>
          <w:rFonts w:ascii="Cambria" w:hAnsi="Cambria"/>
        </w:rPr>
        <w:t xml:space="preserve">   When thymine is irradiated with UV light (the kind of light that the ozone layer protects us from), it undergoes a dimerization reaction in which it couples with a </w:t>
      </w:r>
      <w:proofErr w:type="spellStart"/>
      <w:r w:rsidRPr="007A61FA">
        <w:rPr>
          <w:rFonts w:ascii="Cambria" w:hAnsi="Cambria"/>
        </w:rPr>
        <w:t>neighboring</w:t>
      </w:r>
      <w:proofErr w:type="spellEnd"/>
      <w:r w:rsidRPr="007A61FA">
        <w:rPr>
          <w:rFonts w:ascii="Cambria" w:hAnsi="Cambria"/>
        </w:rPr>
        <w:t xml:space="preserve"> thymine in the DNA chain (Figure 1) </w:t>
      </w:r>
      <w:r w:rsidRPr="007A61FA">
        <w:rPr>
          <w:rFonts w:ascii="Cambria" w:hAnsi="Cambria"/>
          <w:i/>
        </w:rPr>
        <w:t>(1)</w:t>
      </w:r>
      <w:r w:rsidRPr="007A61FA">
        <w:rPr>
          <w:rFonts w:ascii="Cambria" w:hAnsi="Cambria"/>
        </w:rPr>
        <w:t xml:space="preserve">. </w:t>
      </w:r>
    </w:p>
    <w:p w14:paraId="01C5F566" w14:textId="77777777" w:rsidR="007E28C9" w:rsidRPr="007A61FA" w:rsidRDefault="007E28C9" w:rsidP="007E28C9">
      <w:pPr>
        <w:rPr>
          <w:rFonts w:ascii="Cambria" w:hAnsi="Cambria"/>
        </w:rPr>
      </w:pPr>
    </w:p>
    <w:p w14:paraId="2264058D" w14:textId="77777777" w:rsidR="007E28C9" w:rsidRPr="007A61FA" w:rsidRDefault="007E28C9" w:rsidP="007E28C9">
      <w:pPr>
        <w:outlineLvl w:val="0"/>
        <w:rPr>
          <w:rFonts w:ascii="Cambria" w:hAnsi="Cambria"/>
        </w:rPr>
      </w:pPr>
      <w:r w:rsidRPr="007A61FA">
        <w:rPr>
          <w:rFonts w:ascii="Cambria" w:hAnsi="Cambria"/>
          <w:b/>
        </w:rPr>
        <w:t xml:space="preserve">Figure 1. </w:t>
      </w:r>
      <w:r w:rsidRPr="007A61FA">
        <w:rPr>
          <w:rFonts w:ascii="Cambria" w:hAnsi="Cambria"/>
        </w:rPr>
        <w:t>Photodimerization of thymine in DNA.</w:t>
      </w:r>
    </w:p>
    <w:p w14:paraId="7235AE3D" w14:textId="77777777" w:rsidR="007E28C9" w:rsidRPr="007A61FA" w:rsidRDefault="007E28C9" w:rsidP="007E28C9">
      <w:pPr>
        <w:rPr>
          <w:rFonts w:ascii="Cambria" w:hAnsi="Cambria"/>
        </w:rPr>
      </w:pPr>
    </w:p>
    <w:p w14:paraId="106A5DF6" w14:textId="77777777" w:rsidR="007E28C9" w:rsidRPr="007A61FA" w:rsidRDefault="007E28C9" w:rsidP="007E28C9">
      <w:pPr>
        <w:rPr>
          <w:rFonts w:ascii="Cambria" w:hAnsi="Cambria"/>
        </w:rPr>
      </w:pPr>
      <w:r w:rsidRPr="007A61FA">
        <w:rPr>
          <w:rFonts w:ascii="Cambria" w:hAnsi="Cambria"/>
        </w:rPr>
        <w:t xml:space="preserve"> In our bodies, the dimerization process creates a “kink” in our DNA. There is an enzyme in our bodies that recognizes these kinks and cuts them out of the DNA strand. A second enzyme then comes along and repairs the DNA strand, replicating missing DNA </w:t>
      </w:r>
      <w:proofErr w:type="gramStart"/>
      <w:r w:rsidRPr="007A61FA">
        <w:rPr>
          <w:rFonts w:ascii="Cambria" w:hAnsi="Cambria"/>
        </w:rPr>
        <w:t>in order to</w:t>
      </w:r>
      <w:proofErr w:type="gramEnd"/>
      <w:r w:rsidRPr="007A61FA">
        <w:rPr>
          <w:rFonts w:ascii="Cambria" w:hAnsi="Cambria"/>
        </w:rPr>
        <w:t xml:space="preserve"> fill in the gap. In our bodies, we luckily have this repair mechanism to eliminate thymine dimers that form from too much exposure to the sun. When this mechanism breaks down, however, this can lead to mutations, other carcinogenic events and even skin cancer </w:t>
      </w:r>
      <w:r w:rsidRPr="007A61FA">
        <w:rPr>
          <w:rFonts w:ascii="Cambria" w:hAnsi="Cambria"/>
          <w:i/>
        </w:rPr>
        <w:t>(2)</w:t>
      </w:r>
      <w:r w:rsidRPr="007A61FA">
        <w:rPr>
          <w:rFonts w:ascii="Cambria" w:hAnsi="Cambria"/>
        </w:rPr>
        <w:t>. With the depletion of the ozone layer, more UV light is getting to the surface of the earth. The increase in UV light will correspond to an increased rate of skin cancer.</w:t>
      </w:r>
    </w:p>
    <w:p w14:paraId="5BA36D53" w14:textId="77777777" w:rsidR="007E28C9" w:rsidRPr="007A61FA" w:rsidRDefault="007E28C9" w:rsidP="007E28C9">
      <w:pPr>
        <w:rPr>
          <w:rFonts w:ascii="Cambria" w:hAnsi="Cambria"/>
        </w:rPr>
      </w:pPr>
    </w:p>
    <w:p w14:paraId="27A5E385" w14:textId="77777777" w:rsidR="007E28C9" w:rsidRPr="007A61FA" w:rsidRDefault="007E28C9" w:rsidP="007E28C9">
      <w:pPr>
        <w:rPr>
          <w:rFonts w:ascii="Cambria" w:hAnsi="Cambria"/>
        </w:rPr>
      </w:pPr>
      <w:r w:rsidRPr="007A61FA">
        <w:rPr>
          <w:rFonts w:ascii="Cambria" w:hAnsi="Cambria"/>
        </w:rPr>
        <w:t xml:space="preserve">Researchers at the Warner Babcock Institute for Green Chemistry have identified an enzyme that is capable of recognizing thymine dimers and essentially “unzips” them. This enzyme, called DNA photolyase, is found in e-Coli bacteria and other microorganisms. </w:t>
      </w:r>
    </w:p>
    <w:p w14:paraId="22161B0B" w14:textId="77777777" w:rsidR="007E28C9" w:rsidRPr="007A61FA" w:rsidRDefault="007E28C9" w:rsidP="007E28C9">
      <w:pPr>
        <w:rPr>
          <w:rFonts w:ascii="Cambria" w:hAnsi="Cambria"/>
        </w:rPr>
      </w:pPr>
    </w:p>
    <w:p w14:paraId="4518318A" w14:textId="77777777" w:rsidR="007E28C9" w:rsidRPr="007A61FA" w:rsidRDefault="0081041F" w:rsidP="007E28C9">
      <w:pPr>
        <w:jc w:val="center"/>
        <w:outlineLvl w:val="0"/>
        <w:rPr>
          <w:rFonts w:ascii="Cambria" w:hAnsi="Cambria"/>
          <w:b/>
        </w:rPr>
      </w:pPr>
      <w:r w:rsidRPr="007A61FA">
        <w:rPr>
          <w:rFonts w:ascii="Cambria" w:hAnsi="Cambria"/>
          <w:noProof/>
        </w:rPr>
        <w:object w:dxaOrig="5146" w:dyaOrig="2989" w14:anchorId="42DF8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68.35pt;height:156.35pt;mso-width-percent:0;mso-height-percent:0;mso-width-percent:0;mso-height-percent:0" o:ole="" o:allowoverlap="f" fillcolor="window">
            <v:imagedata r:id="rId24" o:title=""/>
          </v:shape>
          <o:OLEObject Type="Embed" ProgID="ChemDraw.Document.6.0" ShapeID="_x0000_i1026" DrawAspect="Content" ObjectID="_1693913622" r:id="rId25"/>
        </w:object>
      </w:r>
    </w:p>
    <w:p w14:paraId="4C314BFB" w14:textId="77777777" w:rsidR="007E28C9" w:rsidRPr="007A61FA" w:rsidRDefault="007E28C9" w:rsidP="007E28C9">
      <w:pPr>
        <w:outlineLvl w:val="0"/>
        <w:rPr>
          <w:rFonts w:ascii="Cambria" w:hAnsi="Cambria"/>
          <w:b/>
        </w:rPr>
      </w:pPr>
    </w:p>
    <w:p w14:paraId="1A3CB5A7" w14:textId="77777777" w:rsidR="007E28C9" w:rsidRPr="007A61FA" w:rsidRDefault="007E28C9" w:rsidP="007E28C9">
      <w:pPr>
        <w:outlineLvl w:val="0"/>
        <w:rPr>
          <w:rFonts w:ascii="Cambria" w:hAnsi="Cambria"/>
        </w:rPr>
      </w:pPr>
      <w:r w:rsidRPr="007A61FA">
        <w:rPr>
          <w:rFonts w:ascii="Cambria" w:hAnsi="Cambria"/>
          <w:b/>
        </w:rPr>
        <w:t xml:space="preserve">Figure 2. </w:t>
      </w:r>
      <w:r w:rsidRPr="007A61FA">
        <w:rPr>
          <w:rFonts w:ascii="Cambria" w:hAnsi="Cambria"/>
        </w:rPr>
        <w:t xml:space="preserve">“Unzipping” of </w:t>
      </w:r>
      <w:proofErr w:type="spellStart"/>
      <w:r w:rsidRPr="007A61FA">
        <w:rPr>
          <w:rFonts w:ascii="Cambria" w:hAnsi="Cambria"/>
        </w:rPr>
        <w:t>photodimer</w:t>
      </w:r>
      <w:proofErr w:type="spellEnd"/>
      <w:r w:rsidRPr="007A61FA">
        <w:rPr>
          <w:rFonts w:ascii="Cambria" w:hAnsi="Cambria"/>
        </w:rPr>
        <w:t xml:space="preserve"> by DNA photolyase.</w:t>
      </w:r>
    </w:p>
    <w:p w14:paraId="26117680" w14:textId="77777777" w:rsidR="007E28C9" w:rsidRPr="007A61FA" w:rsidRDefault="007E28C9" w:rsidP="007E28C9">
      <w:pPr>
        <w:rPr>
          <w:rFonts w:ascii="Cambria" w:hAnsi="Cambria"/>
        </w:rPr>
      </w:pPr>
    </w:p>
    <w:p w14:paraId="06FBD423" w14:textId="77777777" w:rsidR="007E28C9" w:rsidRPr="007A61FA" w:rsidRDefault="007E28C9" w:rsidP="007E28C9">
      <w:pPr>
        <w:rPr>
          <w:rFonts w:ascii="Cambria" w:hAnsi="Cambria"/>
        </w:rPr>
      </w:pPr>
      <w:r w:rsidRPr="007A61FA">
        <w:rPr>
          <w:rFonts w:ascii="Cambria" w:hAnsi="Cambria"/>
        </w:rPr>
        <w:t xml:space="preserve">   The photoreaction has been found to have some benefit in our skin and has been used for medical purposes. UV irradiation has been employed to treat serious cases of psoriasis and some forms of cancer (called PUVA phototherapy). The UV light essentially damages the DNA of the fastest replicating cells (the psoriatic or cancerous cells) and eliminates them. </w:t>
      </w:r>
    </w:p>
    <w:p w14:paraId="0605E8B5" w14:textId="77777777" w:rsidR="007E28C9" w:rsidRPr="007A61FA" w:rsidRDefault="007E28C9" w:rsidP="007E28C9">
      <w:pPr>
        <w:rPr>
          <w:rFonts w:ascii="Cambria" w:hAnsi="Cambria"/>
        </w:rPr>
      </w:pPr>
      <w:r w:rsidRPr="007A61FA">
        <w:rPr>
          <w:rFonts w:ascii="Cambria" w:hAnsi="Cambria"/>
        </w:rPr>
        <w:t xml:space="preserve">   Synthetic polymers that incorporate thymine take advantage of this photoreaction. Water-soluble polymers can be made that contain thymine in the chain </w:t>
      </w:r>
      <w:r w:rsidRPr="007A61FA">
        <w:rPr>
          <w:rFonts w:ascii="Cambria" w:hAnsi="Cambria"/>
          <w:i/>
        </w:rPr>
        <w:t>(4)</w:t>
      </w:r>
      <w:r w:rsidRPr="007A61FA">
        <w:rPr>
          <w:rFonts w:ascii="Cambria" w:hAnsi="Cambria"/>
        </w:rPr>
        <w:t xml:space="preserve">. When the polymer is irradiated with UV </w:t>
      </w:r>
      <w:proofErr w:type="gramStart"/>
      <w:r w:rsidRPr="007A61FA">
        <w:rPr>
          <w:rFonts w:ascii="Cambria" w:hAnsi="Cambria"/>
        </w:rPr>
        <w:t>light,,</w:t>
      </w:r>
      <w:proofErr w:type="gramEnd"/>
      <w:r w:rsidRPr="007A61FA">
        <w:rPr>
          <w:rFonts w:ascii="Cambria" w:hAnsi="Cambria"/>
        </w:rPr>
        <w:t xml:space="preserve"> the same reaction occurs that links two adjacent thymine molecules together, and it is transformed into a material that resists dissolution in water. This type of material is called a photoresist </w:t>
      </w:r>
      <w:r w:rsidRPr="007A61FA">
        <w:rPr>
          <w:rFonts w:ascii="Cambria" w:hAnsi="Cambria"/>
          <w:i/>
        </w:rPr>
        <w:t>(5)</w:t>
      </w:r>
      <w:r w:rsidRPr="007A61FA">
        <w:rPr>
          <w:rFonts w:ascii="Cambria" w:hAnsi="Cambria"/>
        </w:rPr>
        <w:t>.</w:t>
      </w:r>
    </w:p>
    <w:p w14:paraId="2BBD1EC1" w14:textId="77777777" w:rsidR="007E28C9" w:rsidRPr="007A61FA" w:rsidRDefault="007E28C9" w:rsidP="007E28C9">
      <w:pPr>
        <w:rPr>
          <w:rFonts w:ascii="Cambria" w:hAnsi="Cambria"/>
        </w:rPr>
      </w:pPr>
      <w:r w:rsidRPr="007A61FA">
        <w:rPr>
          <w:rFonts w:ascii="Cambria" w:hAnsi="Cambria"/>
        </w:rPr>
        <w:t xml:space="preserve">   The microelectronics industry is </w:t>
      </w:r>
      <w:proofErr w:type="gramStart"/>
      <w:r w:rsidRPr="007A61FA">
        <w:rPr>
          <w:rFonts w:ascii="Cambria" w:hAnsi="Cambria"/>
        </w:rPr>
        <w:t>based in large part on</w:t>
      </w:r>
      <w:proofErr w:type="gramEnd"/>
      <w:r w:rsidRPr="007A61FA">
        <w:rPr>
          <w:rFonts w:ascii="Cambria" w:hAnsi="Cambria"/>
        </w:rPr>
        <w:t xml:space="preserve"> photoresist technology in the manufacture of printed circuit boards, integrated circuit chips, and other components. Photolithography and other forms of imaging are also based on photoresists. The basic procedure is outlined in Figure 3. The soluble material is coated on a </w:t>
      </w:r>
      <w:r w:rsidRPr="007A61FA">
        <w:rPr>
          <w:rFonts w:ascii="Cambria" w:hAnsi="Cambria"/>
        </w:rPr>
        <w:lastRenderedPageBreak/>
        <w:t>solid support. Irradiation through a mask or by a laser causes the regions where light hits the surface to turn insoluble. These areas “resist” being washed away. After the photoresist is removed, copper or other conductive materials are deposited on the solid support to generate the final image.</w:t>
      </w:r>
    </w:p>
    <w:p w14:paraId="11519208" w14:textId="77777777" w:rsidR="007E28C9" w:rsidRPr="007A61FA" w:rsidRDefault="007E28C9" w:rsidP="007E28C9">
      <w:pPr>
        <w:rPr>
          <w:rFonts w:ascii="Cambria" w:hAnsi="Cambria"/>
        </w:rPr>
      </w:pPr>
    </w:p>
    <w:p w14:paraId="015BEE10" w14:textId="77777777" w:rsidR="007E28C9" w:rsidRPr="007A61FA" w:rsidRDefault="007E28C9" w:rsidP="007E28C9">
      <w:pPr>
        <w:rPr>
          <w:rFonts w:ascii="Cambria" w:hAnsi="Cambria"/>
        </w:rPr>
      </w:pPr>
    </w:p>
    <w:p w14:paraId="3EC89548" w14:textId="77777777" w:rsidR="007E28C9" w:rsidRPr="007A61FA" w:rsidRDefault="007E28C9" w:rsidP="007E28C9">
      <w:pPr>
        <w:jc w:val="center"/>
        <w:rPr>
          <w:rFonts w:ascii="Cambria" w:hAnsi="Cambria"/>
        </w:rPr>
      </w:pPr>
      <w:bookmarkStart w:id="0" w:name="OLE_LINK1"/>
      <w:bookmarkStart w:id="1" w:name="OLE_LINK2"/>
      <w:r w:rsidRPr="007A61FA">
        <w:rPr>
          <w:rFonts w:ascii="Cambria" w:hAnsi="Cambria"/>
          <w:noProof/>
          <w:lang w:val="en-US"/>
        </w:rPr>
        <w:drawing>
          <wp:inline distT="0" distB="0" distL="0" distR="0" wp14:anchorId="19C0232B" wp14:editId="7B11F9FD">
            <wp:extent cx="3543300" cy="2476500"/>
            <wp:effectExtent l="0" t="0" r="12700" b="12700"/>
            <wp:docPr id="40" name="Picture 40" descr="PHOTORE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RES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476500"/>
                    </a:xfrm>
                    <a:prstGeom prst="rect">
                      <a:avLst/>
                    </a:prstGeom>
                    <a:noFill/>
                    <a:ln>
                      <a:noFill/>
                    </a:ln>
                  </pic:spPr>
                </pic:pic>
              </a:graphicData>
            </a:graphic>
          </wp:inline>
        </w:drawing>
      </w:r>
      <w:bookmarkEnd w:id="0"/>
      <w:bookmarkEnd w:id="1"/>
    </w:p>
    <w:p w14:paraId="3013D136" w14:textId="77777777" w:rsidR="007E28C9" w:rsidRPr="007A61FA" w:rsidRDefault="007E28C9" w:rsidP="007E28C9">
      <w:pPr>
        <w:outlineLvl w:val="0"/>
        <w:rPr>
          <w:rFonts w:ascii="Cambria" w:hAnsi="Cambria"/>
        </w:rPr>
      </w:pPr>
      <w:r w:rsidRPr="007A61FA">
        <w:rPr>
          <w:rFonts w:ascii="Cambria" w:hAnsi="Cambria"/>
          <w:b/>
        </w:rPr>
        <w:t xml:space="preserve">Figure 3. </w:t>
      </w:r>
      <w:r w:rsidRPr="007A61FA">
        <w:rPr>
          <w:rFonts w:ascii="Cambria" w:hAnsi="Cambria"/>
        </w:rPr>
        <w:t>Photoresist assembly.</w:t>
      </w:r>
    </w:p>
    <w:p w14:paraId="034DD2B2" w14:textId="77777777" w:rsidR="007E28C9" w:rsidRPr="007A61FA" w:rsidRDefault="007E28C9" w:rsidP="007E28C9">
      <w:pPr>
        <w:rPr>
          <w:rFonts w:ascii="Cambria" w:hAnsi="Cambria"/>
        </w:rPr>
      </w:pPr>
    </w:p>
    <w:p w14:paraId="5B98B47B" w14:textId="77777777" w:rsidR="007E28C9" w:rsidRPr="007A61FA" w:rsidRDefault="007E28C9" w:rsidP="007E28C9">
      <w:pPr>
        <w:rPr>
          <w:rFonts w:ascii="Cambria" w:hAnsi="Cambria"/>
        </w:rPr>
      </w:pPr>
    </w:p>
    <w:p w14:paraId="0C50A6E9" w14:textId="77777777" w:rsidR="007E28C9" w:rsidRPr="007A61FA" w:rsidRDefault="007E28C9" w:rsidP="007E28C9">
      <w:pPr>
        <w:rPr>
          <w:rFonts w:ascii="Cambria" w:hAnsi="Cambria"/>
        </w:rPr>
      </w:pPr>
      <w:r w:rsidRPr="007A61FA">
        <w:rPr>
          <w:rFonts w:ascii="Cambria" w:hAnsi="Cambria"/>
        </w:rPr>
        <w:t xml:space="preserve">Conventional photoresist processes are not very good for the environment or for workers preparing the materials. Typical materials are organic-solvent-dependent monomers that undergo polymerization upon irradiation. These often-toxic monomers are recollected in the wash stage, requiring strict monitoring of waste and solvent evaporation </w:t>
      </w:r>
      <w:r w:rsidRPr="007A61FA">
        <w:rPr>
          <w:rFonts w:ascii="Cambria" w:hAnsi="Cambria"/>
          <w:i/>
        </w:rPr>
        <w:t>(6)</w:t>
      </w:r>
      <w:r w:rsidRPr="007A61FA">
        <w:rPr>
          <w:rFonts w:ascii="Cambria" w:hAnsi="Cambria"/>
        </w:rPr>
        <w:t xml:space="preserve">. The process can be visualized by imagining many small individual molecules that undergo conversion into a </w:t>
      </w:r>
      <w:proofErr w:type="gramStart"/>
      <w:r w:rsidRPr="007A61FA">
        <w:rPr>
          <w:rFonts w:ascii="Cambria" w:hAnsi="Cambria"/>
        </w:rPr>
        <w:t>huge networked</w:t>
      </w:r>
      <w:proofErr w:type="gramEnd"/>
      <w:r w:rsidRPr="007A61FA">
        <w:rPr>
          <w:rFonts w:ascii="Cambria" w:hAnsi="Cambria"/>
        </w:rPr>
        <w:t xml:space="preserve"> material (Figure 4).</w:t>
      </w:r>
    </w:p>
    <w:p w14:paraId="0D1FE30F" w14:textId="77777777" w:rsidR="007E28C9" w:rsidRPr="007A61FA" w:rsidRDefault="007E28C9" w:rsidP="007E28C9">
      <w:pPr>
        <w:rPr>
          <w:rFonts w:ascii="Cambria" w:hAnsi="Cambria"/>
        </w:rPr>
      </w:pPr>
    </w:p>
    <w:p w14:paraId="1B566296" w14:textId="77777777" w:rsidR="007E28C9" w:rsidRPr="007A61FA" w:rsidRDefault="007E28C9" w:rsidP="007E28C9">
      <w:pPr>
        <w:outlineLvl w:val="0"/>
        <w:rPr>
          <w:rFonts w:ascii="Cambria" w:hAnsi="Cambria"/>
        </w:rPr>
      </w:pPr>
      <w:r w:rsidRPr="007A61FA">
        <w:rPr>
          <w:rFonts w:ascii="Cambria" w:hAnsi="Cambria"/>
          <w:b/>
        </w:rPr>
        <w:t>Figure 4.</w:t>
      </w:r>
      <w:r w:rsidRPr="007A61FA">
        <w:rPr>
          <w:rFonts w:ascii="Cambria" w:hAnsi="Cambria"/>
        </w:rPr>
        <w:t xml:space="preserve"> Polymerization process.</w:t>
      </w:r>
    </w:p>
    <w:p w14:paraId="5C10C771" w14:textId="77777777" w:rsidR="007E28C9" w:rsidRPr="007A61FA" w:rsidRDefault="007E28C9" w:rsidP="007E28C9">
      <w:pPr>
        <w:rPr>
          <w:rFonts w:ascii="Cambria" w:hAnsi="Cambria"/>
        </w:rPr>
      </w:pPr>
    </w:p>
    <w:p w14:paraId="0AC027AD" w14:textId="77777777" w:rsidR="007E28C9" w:rsidRPr="007A61FA" w:rsidRDefault="007E28C9" w:rsidP="007E28C9">
      <w:pPr>
        <w:rPr>
          <w:rFonts w:ascii="Cambria" w:hAnsi="Cambria"/>
        </w:rPr>
      </w:pPr>
      <w:r w:rsidRPr="007A61FA">
        <w:rPr>
          <w:rFonts w:ascii="Cambria" w:hAnsi="Cambria"/>
        </w:rPr>
        <w:t xml:space="preserve">   Thymine-based polymers are advantageous for several reasons. First, they are water-soluble, which avoids the need for organic solvents, an environmentally beneficial objective on its own. Second, a polymerization reaction is not necessary. These water-soluble nontoxic polymers are already polymerized. The photoreaction initiates a cross-linking mechanism by which </w:t>
      </w:r>
      <w:proofErr w:type="spellStart"/>
      <w:r w:rsidRPr="007A61FA">
        <w:rPr>
          <w:rFonts w:ascii="Cambria" w:hAnsi="Cambria"/>
        </w:rPr>
        <w:t>neighboring</w:t>
      </w:r>
      <w:proofErr w:type="spellEnd"/>
      <w:r w:rsidRPr="007A61FA">
        <w:rPr>
          <w:rFonts w:ascii="Cambria" w:hAnsi="Cambria"/>
        </w:rPr>
        <w:t xml:space="preserve"> strands are “tied” together through thymine dimers (Figure 5). The formation of networks in this way makes them insoluble. </w:t>
      </w:r>
    </w:p>
    <w:p w14:paraId="08BEC15D" w14:textId="77777777" w:rsidR="007E28C9" w:rsidRPr="007A61FA" w:rsidRDefault="007E28C9" w:rsidP="007E28C9">
      <w:pPr>
        <w:rPr>
          <w:rFonts w:ascii="Cambria" w:hAnsi="Cambria"/>
          <w:b/>
        </w:rPr>
      </w:pPr>
    </w:p>
    <w:p w14:paraId="190CB207" w14:textId="77777777" w:rsidR="007E28C9" w:rsidRPr="007A61FA" w:rsidRDefault="007E28C9" w:rsidP="007E28C9">
      <w:pPr>
        <w:outlineLvl w:val="0"/>
        <w:rPr>
          <w:rFonts w:ascii="Cambria" w:hAnsi="Cambria"/>
        </w:rPr>
      </w:pPr>
      <w:r w:rsidRPr="007A61FA">
        <w:rPr>
          <w:rFonts w:ascii="Cambria" w:hAnsi="Cambria"/>
          <w:b/>
        </w:rPr>
        <w:t xml:space="preserve">Figure 5. </w:t>
      </w:r>
      <w:r w:rsidRPr="007A61FA">
        <w:rPr>
          <w:rFonts w:ascii="Cambria" w:hAnsi="Cambria"/>
        </w:rPr>
        <w:t>Cross-linking of polymer chains.</w:t>
      </w:r>
    </w:p>
    <w:p w14:paraId="17167496" w14:textId="77777777" w:rsidR="007E28C9" w:rsidRPr="007A61FA" w:rsidRDefault="007E28C9" w:rsidP="007E28C9">
      <w:pPr>
        <w:outlineLvl w:val="0"/>
        <w:rPr>
          <w:rFonts w:ascii="Cambria" w:hAnsi="Cambria"/>
        </w:rPr>
      </w:pPr>
    </w:p>
    <w:p w14:paraId="53836141" w14:textId="77777777" w:rsidR="007E28C9" w:rsidRPr="007A61FA" w:rsidRDefault="007E28C9" w:rsidP="007E28C9">
      <w:pPr>
        <w:ind w:firstLine="150"/>
        <w:rPr>
          <w:rFonts w:ascii="Cambria" w:hAnsi="Cambria"/>
        </w:rPr>
      </w:pPr>
      <w:r w:rsidRPr="007A61FA">
        <w:rPr>
          <w:rFonts w:ascii="Cambria" w:hAnsi="Cambria"/>
        </w:rPr>
        <w:t xml:space="preserve">The polymer that we will use in this experiment is a copolymer of </w:t>
      </w:r>
      <w:proofErr w:type="spellStart"/>
      <w:r w:rsidRPr="007A61FA">
        <w:rPr>
          <w:rFonts w:ascii="Cambria" w:hAnsi="Cambria"/>
        </w:rPr>
        <w:t>vinylbenzyl</w:t>
      </w:r>
      <w:proofErr w:type="spellEnd"/>
      <w:r w:rsidRPr="007A61FA">
        <w:rPr>
          <w:rFonts w:ascii="Cambria" w:hAnsi="Cambria"/>
        </w:rPr>
        <w:t xml:space="preserve"> thymine (VBT) and </w:t>
      </w:r>
      <w:proofErr w:type="spellStart"/>
      <w:r w:rsidRPr="007A61FA">
        <w:rPr>
          <w:rFonts w:ascii="Cambria" w:hAnsi="Cambria"/>
        </w:rPr>
        <w:t>vinylbenzyl</w:t>
      </w:r>
      <w:proofErr w:type="spellEnd"/>
      <w:r w:rsidRPr="007A61FA">
        <w:rPr>
          <w:rFonts w:ascii="Cambria" w:hAnsi="Cambria"/>
        </w:rPr>
        <w:t xml:space="preserve"> triethylammonium chloride</w:t>
      </w:r>
      <w:r w:rsidRPr="007A61FA">
        <w:rPr>
          <w:rFonts w:ascii="Cambria" w:hAnsi="Cambria"/>
          <w:b/>
        </w:rPr>
        <w:t xml:space="preserve"> </w:t>
      </w:r>
      <w:r w:rsidRPr="007A61FA">
        <w:rPr>
          <w:rFonts w:ascii="Cambria" w:hAnsi="Cambria"/>
        </w:rPr>
        <w:t xml:space="preserve">(VBEA) (Scheme 1). The VBT is used to adhere the polymer to the surface (as in the mechanism explained previously) and the VBEA is the component that makes the polymer dissolve in water since it is a chloride salt. </w:t>
      </w:r>
    </w:p>
    <w:p w14:paraId="7236CE61" w14:textId="77777777" w:rsidR="007E28C9" w:rsidRPr="007A61FA" w:rsidRDefault="007E28C9" w:rsidP="007E28C9">
      <w:pPr>
        <w:rPr>
          <w:rFonts w:ascii="Cambria" w:hAnsi="Cambria"/>
        </w:rPr>
      </w:pPr>
      <w:r w:rsidRPr="007A61FA">
        <w:rPr>
          <w:rFonts w:ascii="Cambria" w:hAnsi="Cambria"/>
        </w:rPr>
        <w:t xml:space="preserve"> </w:t>
      </w:r>
    </w:p>
    <w:p w14:paraId="3B98624A" w14:textId="77777777" w:rsidR="007E28C9" w:rsidRPr="007A61FA" w:rsidRDefault="007E28C9" w:rsidP="007E28C9">
      <w:pPr>
        <w:rPr>
          <w:rFonts w:ascii="Cambria" w:hAnsi="Cambria"/>
        </w:rPr>
      </w:pPr>
    </w:p>
    <w:p w14:paraId="5FFF7EE2" w14:textId="77777777" w:rsidR="007E28C9" w:rsidRPr="007A61FA" w:rsidRDefault="0081041F" w:rsidP="007E28C9">
      <w:pPr>
        <w:rPr>
          <w:rFonts w:ascii="Cambria" w:hAnsi="Cambria"/>
        </w:rPr>
      </w:pPr>
      <w:r w:rsidRPr="007A61FA">
        <w:rPr>
          <w:rFonts w:ascii="Cambria" w:hAnsi="Cambria"/>
          <w:noProof/>
        </w:rPr>
        <w:object w:dxaOrig="9302" w:dyaOrig="3082" w14:anchorId="157A78D5">
          <v:shape id="_x0000_i1025" type="#_x0000_t75" alt="" style="width:485.8pt;height:160.75pt;mso-width-percent:0;mso-height-percent:0;mso-width-percent:0;mso-height-percent:0" o:ole="">
            <v:imagedata r:id="rId27" o:title=""/>
          </v:shape>
          <o:OLEObject Type="Embed" ProgID="ChemDraw.Document.6.0" ShapeID="_x0000_i1025" DrawAspect="Content" ObjectID="_1693913623" r:id="rId28"/>
        </w:object>
      </w:r>
    </w:p>
    <w:p w14:paraId="67B3814F" w14:textId="77777777" w:rsidR="007E28C9" w:rsidRPr="007A61FA" w:rsidRDefault="007E28C9" w:rsidP="007E28C9">
      <w:pPr>
        <w:outlineLvl w:val="0"/>
        <w:rPr>
          <w:rFonts w:ascii="Cambria" w:hAnsi="Cambria"/>
        </w:rPr>
      </w:pPr>
      <w:r w:rsidRPr="007A61FA">
        <w:rPr>
          <w:rFonts w:ascii="Cambria" w:hAnsi="Cambria"/>
          <w:b/>
        </w:rPr>
        <w:t xml:space="preserve">Scheme 1. </w:t>
      </w:r>
      <w:r w:rsidRPr="007A61FA">
        <w:rPr>
          <w:rFonts w:ascii="Cambria" w:hAnsi="Cambria"/>
        </w:rPr>
        <w:t>Polymerization of VBT and VBEA.</w:t>
      </w:r>
    </w:p>
    <w:p w14:paraId="6C74B267" w14:textId="77777777" w:rsidR="007E28C9" w:rsidRPr="007A61FA" w:rsidRDefault="007E28C9" w:rsidP="007E28C9">
      <w:pPr>
        <w:outlineLvl w:val="0"/>
        <w:rPr>
          <w:rFonts w:ascii="Cambria" w:hAnsi="Cambria"/>
        </w:rPr>
      </w:pPr>
    </w:p>
    <w:p w14:paraId="53ECF92D" w14:textId="77777777" w:rsidR="007E28C9" w:rsidRPr="007A61FA" w:rsidRDefault="007E28C9" w:rsidP="007E28C9">
      <w:pPr>
        <w:rPr>
          <w:rFonts w:ascii="Cambria" w:hAnsi="Cambria"/>
        </w:rPr>
      </w:pPr>
      <w:r w:rsidRPr="007A61FA">
        <w:rPr>
          <w:rFonts w:ascii="Cambria" w:hAnsi="Cambria"/>
        </w:rPr>
        <w:t xml:space="preserve">Once coated on the substrate surface, a photoresist can be made using a process described previously. Upon patterning the surface, a dye can be used </w:t>
      </w:r>
      <w:proofErr w:type="gramStart"/>
      <w:r w:rsidRPr="007A61FA">
        <w:rPr>
          <w:rFonts w:ascii="Cambria" w:hAnsi="Cambria"/>
        </w:rPr>
        <w:t>in order to</w:t>
      </w:r>
      <w:proofErr w:type="gramEnd"/>
      <w:r w:rsidRPr="007A61FA">
        <w:rPr>
          <w:rFonts w:ascii="Cambria" w:hAnsi="Cambria"/>
        </w:rPr>
        <w:t xml:space="preserve"> visualize the pattern. The cationic nature of VBEA allows for the use of food </w:t>
      </w:r>
      <w:proofErr w:type="spellStart"/>
      <w:r w:rsidRPr="007A61FA">
        <w:rPr>
          <w:rFonts w:ascii="Cambria" w:hAnsi="Cambria"/>
        </w:rPr>
        <w:t>color</w:t>
      </w:r>
      <w:proofErr w:type="spellEnd"/>
      <w:r w:rsidRPr="007A61FA">
        <w:rPr>
          <w:rFonts w:ascii="Cambria" w:hAnsi="Cambria"/>
        </w:rPr>
        <w:t xml:space="preserve"> dyes in this process. It turns out that most FD&amp;C (food, drug and cosmetic) dyes are anionic, allowing for the dye to stick to the surface of the polymer through electrostatic charges (Figure 6). </w:t>
      </w:r>
    </w:p>
    <w:p w14:paraId="45201295" w14:textId="77777777" w:rsidR="007E28C9" w:rsidRPr="007A61FA" w:rsidRDefault="007E28C9" w:rsidP="007E28C9">
      <w:pPr>
        <w:rPr>
          <w:rFonts w:ascii="Cambria" w:hAnsi="Cambria"/>
        </w:rPr>
      </w:pPr>
    </w:p>
    <w:p w14:paraId="7A75B2CB" w14:textId="77777777" w:rsidR="007E28C9" w:rsidRPr="007A61FA" w:rsidRDefault="007E28C9" w:rsidP="007E28C9">
      <w:pPr>
        <w:rPr>
          <w:rFonts w:ascii="Cambria" w:hAnsi="Cambria"/>
        </w:rPr>
      </w:pPr>
    </w:p>
    <w:p w14:paraId="10591FB1" w14:textId="77777777" w:rsidR="007E28C9" w:rsidRPr="007A61FA" w:rsidRDefault="007E28C9" w:rsidP="007E28C9">
      <w:pPr>
        <w:rPr>
          <w:rFonts w:ascii="Cambria" w:hAnsi="Cambria"/>
        </w:rPr>
      </w:pPr>
      <w:r w:rsidRPr="007A61FA">
        <w:rPr>
          <w:rFonts w:ascii="Cambria" w:hAnsi="Cambria"/>
          <w:noProof/>
          <w:lang w:val="en-US"/>
        </w:rPr>
        <mc:AlternateContent>
          <mc:Choice Requires="wpg">
            <w:drawing>
              <wp:inline distT="0" distB="0" distL="0" distR="0" wp14:anchorId="7BB06926" wp14:editId="39BEDBF4">
                <wp:extent cx="5949950" cy="2079637"/>
                <wp:effectExtent l="0" t="0" r="19050" b="317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2079637"/>
                          <a:chOff x="685800" y="1676400"/>
                          <a:chExt cx="7467600" cy="2618802"/>
                        </a:xfrm>
                      </wpg:grpSpPr>
                      <wpg:grpSp>
                        <wpg:cNvPr id="19" name="Group 19"/>
                        <wpg:cNvGrpSpPr/>
                        <wpg:grpSpPr>
                          <a:xfrm>
                            <a:off x="685800" y="3124166"/>
                            <a:ext cx="7315200" cy="1171036"/>
                            <a:chOff x="685800" y="3124166"/>
                            <a:chExt cx="7315200" cy="1171036"/>
                          </a:xfrm>
                        </wpg:grpSpPr>
                        <wps:wsp>
                          <wps:cNvPr id="20" name="Rectangle 20"/>
                          <wps:cNvSpPr/>
                          <wps:spPr>
                            <a:xfrm>
                              <a:off x="685800" y="3810000"/>
                              <a:ext cx="7315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oup 21"/>
                          <wpg:cNvGrpSpPr/>
                          <wpg:grpSpPr>
                            <a:xfrm>
                              <a:off x="838200" y="3124175"/>
                              <a:ext cx="1828800" cy="1171027"/>
                              <a:chOff x="838200" y="3124175"/>
                              <a:chExt cx="1828800" cy="1171027"/>
                            </a:xfrm>
                          </wpg:grpSpPr>
                          <wps:wsp>
                            <wps:cNvPr id="22" name="Rectangle 22"/>
                            <wps:cNvSpPr/>
                            <wps:spPr>
                              <a:xfrm>
                                <a:off x="838200" y="3505200"/>
                                <a:ext cx="1828800" cy="304800"/>
                              </a:xfrm>
                              <a:prstGeom prst="rect">
                                <a:avLst/>
                              </a:prstGeom>
                              <a:solidFill>
                                <a:schemeClr val="accent3">
                                  <a:lumMod val="20000"/>
                                  <a:lumOff val="80000"/>
                                </a:schemeClr>
                              </a:solidFill>
                              <a:ln>
                                <a:noFill/>
                              </a:ln>
                              <a:effectLst/>
                            </wps:spPr>
                            <wps:style>
                              <a:lnRef idx="1">
                                <a:schemeClr val="accent3"/>
                              </a:lnRef>
                              <a:fillRef idx="2">
                                <a:schemeClr val="accent3"/>
                              </a:fillRef>
                              <a:effectRef idx="1">
                                <a:schemeClr val="accent3"/>
                              </a:effectRef>
                              <a:fontRef idx="minor">
                                <a:schemeClr val="dk1"/>
                              </a:fontRef>
                            </wps:style>
                            <wps:bodyPr rtlCol="0" anchor="ctr"/>
                          </wps:wsp>
                          <wps:wsp>
                            <wps:cNvPr id="23" name="Rectangle 23"/>
                            <wps:cNvSpPr/>
                            <wps:spPr>
                              <a:xfrm>
                                <a:off x="838200" y="3124200"/>
                                <a:ext cx="1828800" cy="381000"/>
                              </a:xfrm>
                              <a:prstGeom prst="rect">
                                <a:avLst/>
                              </a:prstGeom>
                              <a:solidFill>
                                <a:schemeClr val="accent6">
                                  <a:lumMod val="40000"/>
                                  <a:lumOff val="60000"/>
                                </a:schemeClr>
                              </a:solidFill>
                              <a:ln>
                                <a:noFill/>
                              </a:ln>
                              <a:effectLst/>
                            </wps:spPr>
                            <wps:style>
                              <a:lnRef idx="1">
                                <a:schemeClr val="accent6"/>
                              </a:lnRef>
                              <a:fillRef idx="2">
                                <a:schemeClr val="accent6"/>
                              </a:fillRef>
                              <a:effectRef idx="1">
                                <a:schemeClr val="accent6"/>
                              </a:effectRef>
                              <a:fontRef idx="minor">
                                <a:schemeClr val="dk1"/>
                              </a:fontRef>
                            </wps:style>
                            <wps:bodyPr rtlCol="0" anchor="ctr"/>
                          </wps:wsp>
                          <wps:wsp>
                            <wps:cNvPr id="24" name="Text Box 24"/>
                            <wps:cNvSpPr txBox="1"/>
                            <wps:spPr>
                              <a:xfrm>
                                <a:off x="914400" y="3124175"/>
                                <a:ext cx="1600313" cy="790035"/>
                              </a:xfrm>
                              <a:prstGeom prst="rect">
                                <a:avLst/>
                              </a:prstGeom>
                              <a:noFill/>
                            </wps:spPr>
                            <wps:txbx>
                              <w:txbxContent>
                                <w:p w14:paraId="167A4458"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xml:space="preserve"> -  -  -  -  -  -  -  -</w:t>
                                  </w:r>
                                </w:p>
                              </w:txbxContent>
                            </wps:txbx>
                            <wps:bodyPr wrap="square" rtlCol="0">
                              <a:spAutoFit/>
                            </wps:bodyPr>
                          </wps:wsp>
                          <wps:wsp>
                            <wps:cNvPr id="25" name="Text Box 25"/>
                            <wps:cNvSpPr txBox="1"/>
                            <wps:spPr>
                              <a:xfrm>
                                <a:off x="914400" y="3505167"/>
                                <a:ext cx="1676025" cy="790035"/>
                              </a:xfrm>
                              <a:prstGeom prst="rect">
                                <a:avLst/>
                              </a:prstGeom>
                              <a:noFill/>
                            </wps:spPr>
                            <wps:txbx>
                              <w:txbxContent>
                                <w:p w14:paraId="7430C224"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  +  +  +  +  +</w:t>
                                  </w:r>
                                </w:p>
                              </w:txbxContent>
                            </wps:txbx>
                            <wps:bodyPr wrap="square" rtlCol="0">
                              <a:spAutoFit/>
                            </wps:bodyPr>
                          </wps:wsp>
                        </wpg:grpSp>
                        <wpg:grpSp>
                          <wpg:cNvPr id="26" name="Group 26"/>
                          <wpg:cNvGrpSpPr/>
                          <wpg:grpSpPr>
                            <a:xfrm>
                              <a:off x="3352800" y="3124166"/>
                              <a:ext cx="1828800" cy="1171026"/>
                              <a:chOff x="3352800" y="3124166"/>
                              <a:chExt cx="1828800" cy="1171026"/>
                            </a:xfrm>
                          </wpg:grpSpPr>
                          <wps:wsp>
                            <wps:cNvPr id="27" name="Rectangle 27"/>
                            <wps:cNvSpPr/>
                            <wps:spPr>
                              <a:xfrm>
                                <a:off x="3352800" y="3505200"/>
                                <a:ext cx="1828800" cy="304800"/>
                              </a:xfrm>
                              <a:prstGeom prst="rect">
                                <a:avLst/>
                              </a:prstGeom>
                              <a:solidFill>
                                <a:schemeClr val="accent3">
                                  <a:lumMod val="20000"/>
                                  <a:lumOff val="80000"/>
                                </a:schemeClr>
                              </a:solidFill>
                              <a:ln>
                                <a:noFill/>
                              </a:ln>
                              <a:effectLst/>
                            </wps:spPr>
                            <wps:style>
                              <a:lnRef idx="1">
                                <a:schemeClr val="accent3"/>
                              </a:lnRef>
                              <a:fillRef idx="2">
                                <a:schemeClr val="accent3"/>
                              </a:fillRef>
                              <a:effectRef idx="1">
                                <a:schemeClr val="accent3"/>
                              </a:effectRef>
                              <a:fontRef idx="minor">
                                <a:schemeClr val="dk1"/>
                              </a:fontRef>
                            </wps:style>
                            <wps:bodyPr rtlCol="0" anchor="ctr"/>
                          </wps:wsp>
                          <wps:wsp>
                            <wps:cNvPr id="28" name="Rectangle 28"/>
                            <wps:cNvSpPr/>
                            <wps:spPr>
                              <a:xfrm>
                                <a:off x="3352800" y="3124200"/>
                                <a:ext cx="1828800" cy="381000"/>
                              </a:xfrm>
                              <a:prstGeom prst="rect">
                                <a:avLst/>
                              </a:prstGeom>
                              <a:solidFill>
                                <a:schemeClr val="accent6">
                                  <a:lumMod val="40000"/>
                                  <a:lumOff val="60000"/>
                                </a:schemeClr>
                              </a:solidFill>
                              <a:ln>
                                <a:noFill/>
                              </a:ln>
                              <a:effectLst/>
                            </wps:spPr>
                            <wps:style>
                              <a:lnRef idx="1">
                                <a:schemeClr val="accent6"/>
                              </a:lnRef>
                              <a:fillRef idx="2">
                                <a:schemeClr val="accent6"/>
                              </a:fillRef>
                              <a:effectRef idx="1">
                                <a:schemeClr val="accent6"/>
                              </a:effectRef>
                              <a:fontRef idx="minor">
                                <a:schemeClr val="dk1"/>
                              </a:fontRef>
                            </wps:style>
                            <wps:bodyPr rtlCol="0" anchor="ctr"/>
                          </wps:wsp>
                          <wps:wsp>
                            <wps:cNvPr id="29" name="Text Box 29"/>
                            <wps:cNvSpPr txBox="1"/>
                            <wps:spPr>
                              <a:xfrm>
                                <a:off x="3429000" y="3124166"/>
                                <a:ext cx="1600313" cy="790034"/>
                              </a:xfrm>
                              <a:prstGeom prst="rect">
                                <a:avLst/>
                              </a:prstGeom>
                              <a:noFill/>
                            </wps:spPr>
                            <wps:txbx>
                              <w:txbxContent>
                                <w:p w14:paraId="202782DC"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xml:space="preserve"> -  -  -  -  -  -  -  -</w:t>
                                  </w:r>
                                </w:p>
                              </w:txbxContent>
                            </wps:txbx>
                            <wps:bodyPr wrap="square" rtlCol="0">
                              <a:spAutoFit/>
                            </wps:bodyPr>
                          </wps:wsp>
                          <wps:wsp>
                            <wps:cNvPr id="30" name="Text Box 30"/>
                            <wps:cNvSpPr txBox="1"/>
                            <wps:spPr>
                              <a:xfrm>
                                <a:off x="3429000" y="3505158"/>
                                <a:ext cx="1676822" cy="790034"/>
                              </a:xfrm>
                              <a:prstGeom prst="rect">
                                <a:avLst/>
                              </a:prstGeom>
                              <a:noFill/>
                            </wps:spPr>
                            <wps:txbx>
                              <w:txbxContent>
                                <w:p w14:paraId="2A452988"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  +  +  +  +  +</w:t>
                                  </w:r>
                                </w:p>
                              </w:txbxContent>
                            </wps:txbx>
                            <wps:bodyPr wrap="square" rtlCol="0">
                              <a:spAutoFit/>
                            </wps:bodyPr>
                          </wps:wsp>
                        </wpg:grpSp>
                        <wpg:grpSp>
                          <wpg:cNvPr id="31" name="Group 31"/>
                          <wpg:cNvGrpSpPr/>
                          <wpg:grpSpPr>
                            <a:xfrm>
                              <a:off x="5638800" y="3124166"/>
                              <a:ext cx="1828800" cy="1171026"/>
                              <a:chOff x="5638800" y="3124166"/>
                              <a:chExt cx="1828800" cy="1171026"/>
                            </a:xfrm>
                          </wpg:grpSpPr>
                          <wps:wsp>
                            <wps:cNvPr id="32" name="Rectangle 32"/>
                            <wps:cNvSpPr/>
                            <wps:spPr>
                              <a:xfrm>
                                <a:off x="5638800" y="3505200"/>
                                <a:ext cx="1828800" cy="304800"/>
                              </a:xfrm>
                              <a:prstGeom prst="rect">
                                <a:avLst/>
                              </a:prstGeom>
                              <a:solidFill>
                                <a:schemeClr val="accent3">
                                  <a:lumMod val="20000"/>
                                  <a:lumOff val="80000"/>
                                </a:schemeClr>
                              </a:solidFill>
                              <a:ln>
                                <a:noFill/>
                              </a:ln>
                              <a:effectLst/>
                            </wps:spPr>
                            <wps:style>
                              <a:lnRef idx="1">
                                <a:schemeClr val="accent3"/>
                              </a:lnRef>
                              <a:fillRef idx="2">
                                <a:schemeClr val="accent3"/>
                              </a:fillRef>
                              <a:effectRef idx="1">
                                <a:schemeClr val="accent3"/>
                              </a:effectRef>
                              <a:fontRef idx="minor">
                                <a:schemeClr val="dk1"/>
                              </a:fontRef>
                            </wps:style>
                            <wps:bodyPr rtlCol="0" anchor="ctr"/>
                          </wps:wsp>
                          <wps:wsp>
                            <wps:cNvPr id="33" name="Rectangle 33"/>
                            <wps:cNvSpPr/>
                            <wps:spPr>
                              <a:xfrm>
                                <a:off x="5638800" y="3124200"/>
                                <a:ext cx="1828800" cy="381000"/>
                              </a:xfrm>
                              <a:prstGeom prst="rect">
                                <a:avLst/>
                              </a:prstGeom>
                              <a:solidFill>
                                <a:schemeClr val="accent6">
                                  <a:lumMod val="40000"/>
                                  <a:lumOff val="60000"/>
                                </a:schemeClr>
                              </a:solidFill>
                              <a:ln>
                                <a:noFill/>
                              </a:ln>
                              <a:effectLst/>
                            </wps:spPr>
                            <wps:style>
                              <a:lnRef idx="1">
                                <a:schemeClr val="accent6"/>
                              </a:lnRef>
                              <a:fillRef idx="2">
                                <a:schemeClr val="accent6"/>
                              </a:fillRef>
                              <a:effectRef idx="1">
                                <a:schemeClr val="accent6"/>
                              </a:effectRef>
                              <a:fontRef idx="minor">
                                <a:schemeClr val="dk1"/>
                              </a:fontRef>
                            </wps:style>
                            <wps:bodyPr rtlCol="0" anchor="ctr"/>
                          </wps:wsp>
                          <wps:wsp>
                            <wps:cNvPr id="34" name="Text Box 34"/>
                            <wps:cNvSpPr txBox="1"/>
                            <wps:spPr>
                              <a:xfrm>
                                <a:off x="5715000" y="3124166"/>
                                <a:ext cx="1600313" cy="790034"/>
                              </a:xfrm>
                              <a:prstGeom prst="rect">
                                <a:avLst/>
                              </a:prstGeom>
                              <a:noFill/>
                            </wps:spPr>
                            <wps:txbx>
                              <w:txbxContent>
                                <w:p w14:paraId="36ABBA0A"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xml:space="preserve"> -  -  -  -  -  -  -  -</w:t>
                                  </w:r>
                                </w:p>
                              </w:txbxContent>
                            </wps:txbx>
                            <wps:bodyPr wrap="square" rtlCol="0">
                              <a:spAutoFit/>
                            </wps:bodyPr>
                          </wps:wsp>
                          <wps:wsp>
                            <wps:cNvPr id="35" name="Text Box 35"/>
                            <wps:cNvSpPr txBox="1"/>
                            <wps:spPr>
                              <a:xfrm>
                                <a:off x="5715000" y="3505158"/>
                                <a:ext cx="1676822" cy="790034"/>
                              </a:xfrm>
                              <a:prstGeom prst="rect">
                                <a:avLst/>
                              </a:prstGeom>
                              <a:noFill/>
                            </wps:spPr>
                            <wps:txbx>
                              <w:txbxContent>
                                <w:p w14:paraId="0C1CADD9"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  +  +  +  +  +</w:t>
                                  </w:r>
                                </w:p>
                              </w:txbxContent>
                            </wps:txbx>
                            <wps:bodyPr wrap="square" rtlCol="0">
                              <a:spAutoFit/>
                            </wps:bodyPr>
                          </wps:wsp>
                        </wpg:grpSp>
                      </wpg:grpSp>
                      <wps:wsp>
                        <wps:cNvPr id="36" name="Rectangular Callout 36"/>
                        <wps:cNvSpPr/>
                        <wps:spPr>
                          <a:xfrm>
                            <a:off x="1066800" y="1676400"/>
                            <a:ext cx="914400" cy="612648"/>
                          </a:xfrm>
                          <a:prstGeom prst="wedgeRectCallout">
                            <a:avLst>
                              <a:gd name="adj1" fmla="val -1115"/>
                              <a:gd name="adj2" fmla="val 184426"/>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9D455"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FD &amp; C</w:t>
                              </w:r>
                            </w:p>
                            <w:p w14:paraId="49C3C607"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Anionic Dye</w:t>
                              </w:r>
                            </w:p>
                          </w:txbxContent>
                        </wps:txbx>
                        <wps:bodyPr rtlCol="0" anchor="ctr"/>
                      </wps:wsp>
                      <wps:wsp>
                        <wps:cNvPr id="37" name="Rectangular Callout 37"/>
                        <wps:cNvSpPr/>
                        <wps:spPr>
                          <a:xfrm>
                            <a:off x="3352800" y="2057400"/>
                            <a:ext cx="1524000" cy="612648"/>
                          </a:xfrm>
                          <a:prstGeom prst="wedgeRectCallout">
                            <a:avLst>
                              <a:gd name="adj1" fmla="val -41678"/>
                              <a:gd name="adj2" fmla="val 218061"/>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E8D405"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VBT/</w:t>
                              </w:r>
                              <w:proofErr w:type="gramStart"/>
                              <w:r>
                                <w:rPr>
                                  <w:rFonts w:asciiTheme="minorHAnsi" w:hAnsi="Calibri" w:cstheme="minorBidi"/>
                                  <w:color w:val="000000" w:themeColor="text1"/>
                                  <w:kern w:val="24"/>
                                </w:rPr>
                                <w:t>VBEA  cationic</w:t>
                              </w:r>
                              <w:proofErr w:type="gramEnd"/>
                              <w:r>
                                <w:rPr>
                                  <w:rFonts w:asciiTheme="minorHAnsi" w:hAnsi="Calibri" w:cstheme="minorBidi"/>
                                  <w:color w:val="000000" w:themeColor="text1"/>
                                  <w:kern w:val="24"/>
                                </w:rPr>
                                <w:t xml:space="preserve"> </w:t>
                              </w:r>
                              <w:r>
                                <w:rPr>
                                  <w:rFonts w:asciiTheme="minorHAnsi" w:hAnsi="Calibri" w:cstheme="minorBidi"/>
                                  <w:color w:val="000000" w:themeColor="text1"/>
                                  <w:kern w:val="24"/>
                                </w:rPr>
                                <w:br/>
                                <w:t>co-polymer</w:t>
                              </w:r>
                            </w:p>
                          </w:txbxContent>
                        </wps:txbx>
                        <wps:bodyPr rtlCol="0" anchor="ctr"/>
                      </wps:wsp>
                      <wps:wsp>
                        <wps:cNvPr id="38" name="Rectangular Callout 38"/>
                        <wps:cNvSpPr/>
                        <wps:spPr>
                          <a:xfrm>
                            <a:off x="7010400" y="2133600"/>
                            <a:ext cx="1143000" cy="612648"/>
                          </a:xfrm>
                          <a:prstGeom prst="wedgeRectCallout">
                            <a:avLst>
                              <a:gd name="adj1" fmla="val 5928"/>
                              <a:gd name="adj2" fmla="val 230673"/>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83A65"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Transparency Film</w:t>
                              </w:r>
                            </w:p>
                          </w:txbxContent>
                        </wps:txbx>
                        <wps:bodyPr rtlCol="0" anchor="ctr"/>
                      </wps:wsp>
                    </wpg:wgp>
                  </a:graphicData>
                </a:graphic>
              </wp:inline>
            </w:drawing>
          </mc:Choice>
          <mc:Fallback>
            <w:pict>
              <v:group w14:anchorId="7BB06926" id="Group 18" o:spid="_x0000_s1027" style="width:468.5pt;height:163.75pt;mso-position-horizontal-relative:char;mso-position-vertical-relative:line" coordorigin="6858,16764" coordsize="74676,261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">
                <v:group id="Group 19" o:spid="_x0000_s1028" style="position:absolute;left:6858;top:31241;width:73152;height:11711" coordorigin="6858,31241" coordsize="73152,11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0" o:spid="_x0000_s1029" style="position:absolute;left:6858;top:38100;width:7315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" fillcolor="#4f81bd [3204]" stroked="f" strokeweight="2pt"/>
                  <v:group id="Group 21" o:spid="_x0000_s1030" style="position:absolute;left:8382;top:31241;width:18288;height:11711" coordorigin="8382,31241" coordsize="18288,11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angle 22" o:spid="_x0000_s1031" style="position:absolute;left:8382;top:35052;width:1828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" fillcolor="#eaf1dd [662]" stroked="f"/>
                    <v:rect id="Rectangle 23" o:spid="_x0000_s1032" style="position:absolute;left:8382;top:31242;width:18288;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" fillcolor="#fbd4b4 [1305]" stroked="f"/>
                    <v:shape id="Text Box 24" o:spid="_x0000_s1033" type="#_x0000_t202" style="position:absolute;left:9144;top:31241;width:16003;height:7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" filled="f" stroked="f">
                      <v:textbox style="mso-fit-shape-to-text:t">
                        <w:txbxContent>
                          <w:p w14:paraId="167A4458"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xml:space="preserve"> -  -  -  -  -  -  -  -</w:t>
                            </w:r>
                          </w:p>
                        </w:txbxContent>
                      </v:textbox>
                    </v:shape>
                    <v:shape id="Text Box 25" o:spid="_x0000_s1034" type="#_x0000_t202" style="position:absolute;left:9144;top:35051;width:16760;height:7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" filled="f" stroked="f">
                      <v:textbox style="mso-fit-shape-to-text:t">
                        <w:txbxContent>
                          <w:p w14:paraId="7430C224"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  +  +  +  +  +</w:t>
                            </w:r>
                          </w:p>
                        </w:txbxContent>
                      </v:textbox>
                    </v:shape>
                  </v:group>
                  <v:group id="Group 26" o:spid="_x0000_s1035" style="position:absolute;left:33528;top:31241;width:18288;height:11710" coordorigin="33528,31241" coordsize="18288,11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rect id="Rectangle 27" o:spid="_x0000_s1036" style="position:absolute;left:33528;top:35052;width:1828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" fillcolor="#eaf1dd [662]" stroked="f"/>
                    <v:rect id="Rectangle 28" o:spid="_x0000_s1037" style="position:absolute;left:33528;top:31242;width:18288;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" fillcolor="#fbd4b4 [1305]" stroked="f"/>
                    <v:shape id="Text Box 29" o:spid="_x0000_s1038" type="#_x0000_t202" style="position:absolute;left:34290;top:31241;width:16003;height:7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8dD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" filled="f" stroked="f">
                      <v:textbox style="mso-fit-shape-to-text:t">
                        <w:txbxContent>
                          <w:p w14:paraId="202782DC"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xml:space="preserve"> -  -  -  -  -  -  -  -</w:t>
                            </w:r>
                          </w:p>
                        </w:txbxContent>
                      </v:textbox>
                    </v:shape>
                    <v:shape id="Text Box 30" o:spid="_x0000_s1039" type="#_x0000_t202" style="position:absolute;left:34290;top:35051;width:16768;height:7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" filled="f" stroked="f">
                      <v:textbox style="mso-fit-shape-to-text:t">
                        <w:txbxContent>
                          <w:p w14:paraId="2A452988"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  +  +  +  +  +</w:t>
                            </w:r>
                          </w:p>
                        </w:txbxContent>
                      </v:textbox>
                    </v:shape>
                  </v:group>
                  <v:group id="Group 31" o:spid="_x0000_s1040" style="position:absolute;left:56388;top:31241;width:18288;height:11710" coordorigin="56388,31241" coordsize="18288,11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32" o:spid="_x0000_s1041" style="position:absolute;left:56388;top:35052;width:18288;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" fillcolor="#eaf1dd [662]" stroked="f"/>
                    <v:rect id="Rectangle 33" o:spid="_x0000_s1042" style="position:absolute;left:56388;top:31242;width:18288;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" fillcolor="#fbd4b4 [1305]" stroked="f"/>
                    <v:shape id="Text Box 34" o:spid="_x0000_s1043" type="#_x0000_t202" style="position:absolute;left:57150;top:31241;width:16003;height:7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" filled="f" stroked="f">
                      <v:textbox style="mso-fit-shape-to-text:t">
                        <w:txbxContent>
                          <w:p w14:paraId="36ABBA0A"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xml:space="preserve"> -  -  -  -  -  -  -  -</w:t>
                            </w:r>
                          </w:p>
                        </w:txbxContent>
                      </v:textbox>
                    </v:shape>
                    <v:shape id="Text Box 35" o:spid="_x0000_s1044" type="#_x0000_t202" style="position:absolute;left:57150;top:35051;width:16768;height:7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" filled="f" stroked="f">
                      <v:textbox style="mso-fit-shape-to-text:t">
                        <w:txbxContent>
                          <w:p w14:paraId="0C1CADD9" w14:textId="77777777" w:rsidR="007E28C9" w:rsidRDefault="007E28C9" w:rsidP="007E28C9">
                            <w:pPr>
                              <w:pStyle w:val="NormalWeb"/>
                              <w:spacing w:before="0" w:beforeAutospacing="0" w:after="0" w:afterAutospacing="0"/>
                            </w:pPr>
                            <w:r>
                              <w:rPr>
                                <w:rFonts w:asciiTheme="minorHAnsi" w:hAnsi="Calibri" w:cstheme="minorBidi"/>
                                <w:color w:val="000000" w:themeColor="text1"/>
                                <w:kern w:val="24"/>
                                <w:sz w:val="36"/>
                                <w:szCs w:val="36"/>
                              </w:rPr>
                              <w:t>+  +  +  +  +  +  +</w:t>
                            </w:r>
                          </w:p>
                        </w:txbxContent>
                      </v:textbox>
                    </v:shape>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45" type="#_x0000_t61" style="position:absolute;left:10668;top:16764;width:9144;height:6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" adj="10559,50636" fillcolor="#fde9d9 [665]" strokecolor="#243f60 [1604]" strokeweight="2pt">
                  <v:textbox>
                    <w:txbxContent>
                      <w:p w14:paraId="7229D455"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FD &amp; C</w:t>
                        </w:r>
                      </w:p>
                      <w:p w14:paraId="49C3C607"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Anionic Dye</w:t>
                        </w:r>
                      </w:p>
                    </w:txbxContent>
                  </v:textbox>
                </v:shape>
                <v:shape id="Rectangular Callout 37" o:spid="_x0000_s1046" type="#_x0000_t61" style="position:absolute;left:33528;top:20574;width:15240;height:6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" adj="1798,57901" fillcolor="#eaf1dd [662]" strokecolor="#243f60 [1604]" strokeweight="2pt">
                  <v:textbox>
                    <w:txbxContent>
                      <w:p w14:paraId="2BE8D405"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VBT/</w:t>
                        </w:r>
                        <w:proofErr w:type="gramStart"/>
                        <w:r>
                          <w:rPr>
                            <w:rFonts w:asciiTheme="minorHAnsi" w:hAnsi="Calibri" w:cstheme="minorBidi"/>
                            <w:color w:val="000000" w:themeColor="text1"/>
                            <w:kern w:val="24"/>
                          </w:rPr>
                          <w:t>VBEA  cationic</w:t>
                        </w:r>
                        <w:proofErr w:type="gramEnd"/>
                        <w:r>
                          <w:rPr>
                            <w:rFonts w:asciiTheme="minorHAnsi" w:hAnsi="Calibri" w:cstheme="minorBidi"/>
                            <w:color w:val="000000" w:themeColor="text1"/>
                            <w:kern w:val="24"/>
                          </w:rPr>
                          <w:t xml:space="preserve"> </w:t>
                        </w:r>
                        <w:r>
                          <w:rPr>
                            <w:rFonts w:asciiTheme="minorHAnsi" w:hAnsi="Calibri" w:cstheme="minorBidi"/>
                            <w:color w:val="000000" w:themeColor="text1"/>
                            <w:kern w:val="24"/>
                          </w:rPr>
                          <w:br/>
                          <w:t>co-polymer</w:t>
                        </w:r>
                      </w:p>
                    </w:txbxContent>
                  </v:textbox>
                </v:shape>
                <v:shape id="Rectangular Callout 38" o:spid="_x0000_s1047" type="#_x0000_t61" style="position:absolute;left:70104;top:21336;width:11430;height:61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" adj="12080,60625" fillcolor="#c6d9f1 [671]" strokecolor="#243f60 [1604]" strokeweight="2pt">
                  <v:textbox>
                    <w:txbxContent>
                      <w:p w14:paraId="79B83A65" w14:textId="77777777" w:rsidR="007E28C9" w:rsidRDefault="007E28C9" w:rsidP="007E28C9">
                        <w:pPr>
                          <w:pStyle w:val="NormalWeb"/>
                          <w:spacing w:before="0" w:beforeAutospacing="0" w:after="0" w:afterAutospacing="0"/>
                          <w:jc w:val="center"/>
                        </w:pPr>
                        <w:r>
                          <w:rPr>
                            <w:rFonts w:asciiTheme="minorHAnsi" w:hAnsi="Calibri" w:cstheme="minorBidi"/>
                            <w:color w:val="000000" w:themeColor="text1"/>
                            <w:kern w:val="24"/>
                          </w:rPr>
                          <w:t>Transparency Film</w:t>
                        </w:r>
                      </w:p>
                    </w:txbxContent>
                  </v:textbox>
                </v:shape>
                <w10:anchorlock/>
              </v:group>
            </w:pict>
          </mc:Fallback>
        </mc:AlternateContent>
      </w:r>
    </w:p>
    <w:p w14:paraId="46218C36" w14:textId="77777777" w:rsidR="007E28C9" w:rsidRPr="007A61FA" w:rsidRDefault="007E28C9" w:rsidP="007E28C9">
      <w:pPr>
        <w:rPr>
          <w:rFonts w:ascii="Cambria" w:hAnsi="Cambria"/>
        </w:rPr>
      </w:pPr>
    </w:p>
    <w:p w14:paraId="100CD554" w14:textId="77777777" w:rsidR="007E28C9" w:rsidRPr="007A61FA" w:rsidRDefault="007E28C9" w:rsidP="007E28C9">
      <w:pPr>
        <w:jc w:val="both"/>
        <w:outlineLvl w:val="0"/>
        <w:rPr>
          <w:rFonts w:ascii="Cambria" w:hAnsi="Cambria"/>
        </w:rPr>
      </w:pPr>
      <w:r w:rsidRPr="007A61FA">
        <w:rPr>
          <w:rFonts w:ascii="Cambria" w:hAnsi="Cambria"/>
          <w:b/>
        </w:rPr>
        <w:t>Figure 6.</w:t>
      </w:r>
      <w:r w:rsidRPr="007A61FA">
        <w:rPr>
          <w:rFonts w:ascii="Cambria" w:hAnsi="Cambria"/>
        </w:rPr>
        <w:t xml:space="preserve"> Cross-section of coating, showing electrostatic affinity of the cationic polymer to the anionic dye.</w:t>
      </w:r>
    </w:p>
    <w:p w14:paraId="5760A598" w14:textId="77777777" w:rsidR="007E28C9" w:rsidRPr="007A61FA" w:rsidRDefault="007E28C9" w:rsidP="007E28C9">
      <w:pPr>
        <w:jc w:val="both"/>
        <w:rPr>
          <w:rFonts w:ascii="Cambria" w:hAnsi="Cambria"/>
        </w:rPr>
      </w:pPr>
    </w:p>
    <w:p w14:paraId="31BDAD42" w14:textId="77777777" w:rsidR="007E28C9" w:rsidRPr="007A61FA" w:rsidRDefault="007E28C9" w:rsidP="007E28C9">
      <w:pPr>
        <w:rPr>
          <w:rFonts w:ascii="Cambria" w:hAnsi="Cambria"/>
          <w:b/>
        </w:rPr>
      </w:pPr>
      <w:r w:rsidRPr="007A61FA">
        <w:rPr>
          <w:rFonts w:ascii="Cambria" w:hAnsi="Cambria"/>
          <w:b/>
        </w:rPr>
        <w:t>Reference</w:t>
      </w:r>
    </w:p>
    <w:p w14:paraId="54AC8C2D" w14:textId="77777777" w:rsidR="007E28C9" w:rsidRPr="007A61FA" w:rsidRDefault="007E28C9" w:rsidP="007E28C9">
      <w:pPr>
        <w:jc w:val="both"/>
        <w:rPr>
          <w:rFonts w:ascii="Cambria" w:hAnsi="Cambria"/>
        </w:rPr>
      </w:pPr>
      <w:r w:rsidRPr="007A61FA">
        <w:rPr>
          <w:rFonts w:ascii="Cambria" w:hAnsi="Cambria"/>
        </w:rPr>
        <w:t xml:space="preserve">1. (a) Blackburn, G. M.; Davies, R. J. H. </w:t>
      </w:r>
      <w:r w:rsidRPr="007A61FA">
        <w:rPr>
          <w:rFonts w:ascii="Cambria" w:hAnsi="Cambria"/>
          <w:i/>
        </w:rPr>
        <w:t xml:space="preserve">J. Chem. Soc. C </w:t>
      </w:r>
      <w:r w:rsidRPr="007A61FA">
        <w:rPr>
          <w:rFonts w:ascii="Cambria" w:hAnsi="Cambria"/>
          <w:b/>
        </w:rPr>
        <w:t>1966,</w:t>
      </w:r>
      <w:r w:rsidRPr="007A61FA">
        <w:rPr>
          <w:rFonts w:ascii="Cambria" w:hAnsi="Cambria"/>
        </w:rPr>
        <w:t xml:space="preserve"> 2239. (b) </w:t>
      </w:r>
      <w:proofErr w:type="spellStart"/>
      <w:r w:rsidRPr="007A61FA">
        <w:rPr>
          <w:rFonts w:ascii="Cambria" w:hAnsi="Cambria"/>
        </w:rPr>
        <w:t>Lamola</w:t>
      </w:r>
      <w:proofErr w:type="spellEnd"/>
      <w:r w:rsidRPr="007A61FA">
        <w:rPr>
          <w:rFonts w:ascii="Cambria" w:hAnsi="Cambria"/>
        </w:rPr>
        <w:t xml:space="preserve">, A. A.; Mittal, J. P. </w:t>
      </w:r>
      <w:r w:rsidRPr="007A61FA">
        <w:rPr>
          <w:rFonts w:ascii="Cambria" w:hAnsi="Cambria"/>
          <w:i/>
        </w:rPr>
        <w:t>Science</w:t>
      </w:r>
      <w:r w:rsidRPr="007A61FA">
        <w:rPr>
          <w:rFonts w:ascii="Cambria" w:hAnsi="Cambria"/>
        </w:rPr>
        <w:t xml:space="preserve"> </w:t>
      </w:r>
      <w:r w:rsidRPr="007A61FA">
        <w:rPr>
          <w:rFonts w:ascii="Cambria" w:hAnsi="Cambria"/>
          <w:b/>
        </w:rPr>
        <w:t>1966,</w:t>
      </w:r>
      <w:r w:rsidRPr="007A61FA">
        <w:rPr>
          <w:rFonts w:ascii="Cambria" w:hAnsi="Cambria"/>
        </w:rPr>
        <w:t xml:space="preserve"> </w:t>
      </w:r>
      <w:r w:rsidRPr="007A61FA">
        <w:rPr>
          <w:rFonts w:ascii="Cambria" w:hAnsi="Cambria"/>
          <w:i/>
        </w:rPr>
        <w:t>154</w:t>
      </w:r>
      <w:r w:rsidRPr="007A61FA">
        <w:rPr>
          <w:rFonts w:ascii="Cambria" w:hAnsi="Cambria"/>
        </w:rPr>
        <w:t xml:space="preserve">, 1560. </w:t>
      </w:r>
    </w:p>
    <w:p w14:paraId="7A8A73F5" w14:textId="77777777" w:rsidR="007E28C9" w:rsidRPr="007A61FA" w:rsidRDefault="007E28C9" w:rsidP="007E28C9">
      <w:pPr>
        <w:jc w:val="both"/>
        <w:rPr>
          <w:rFonts w:ascii="Cambria" w:hAnsi="Cambria"/>
        </w:rPr>
      </w:pPr>
      <w:r w:rsidRPr="007A61FA">
        <w:rPr>
          <w:rFonts w:ascii="Cambria" w:hAnsi="Cambria"/>
        </w:rPr>
        <w:t xml:space="preserve">2. Yamada, H.; </w:t>
      </w:r>
      <w:proofErr w:type="spellStart"/>
      <w:r w:rsidRPr="007A61FA">
        <w:rPr>
          <w:rFonts w:ascii="Cambria" w:hAnsi="Cambria"/>
        </w:rPr>
        <w:t>Hieda</w:t>
      </w:r>
      <w:proofErr w:type="spellEnd"/>
      <w:r w:rsidRPr="007A61FA">
        <w:rPr>
          <w:rFonts w:ascii="Cambria" w:hAnsi="Cambria"/>
        </w:rPr>
        <w:t xml:space="preserve">, K. </w:t>
      </w:r>
      <w:proofErr w:type="spellStart"/>
      <w:r w:rsidRPr="007A61FA">
        <w:rPr>
          <w:rFonts w:ascii="Cambria" w:hAnsi="Cambria"/>
          <w:i/>
        </w:rPr>
        <w:t>Photochem</w:t>
      </w:r>
      <w:proofErr w:type="spellEnd"/>
      <w:r w:rsidRPr="007A61FA">
        <w:rPr>
          <w:rFonts w:ascii="Cambria" w:hAnsi="Cambria"/>
          <w:i/>
        </w:rPr>
        <w:t xml:space="preserve">. </w:t>
      </w:r>
      <w:proofErr w:type="spellStart"/>
      <w:r w:rsidRPr="007A61FA">
        <w:rPr>
          <w:rFonts w:ascii="Cambria" w:hAnsi="Cambria"/>
          <w:i/>
        </w:rPr>
        <w:t>Photobiol</w:t>
      </w:r>
      <w:proofErr w:type="spellEnd"/>
      <w:r w:rsidRPr="007A61FA">
        <w:rPr>
          <w:rFonts w:ascii="Cambria" w:hAnsi="Cambria"/>
          <w:i/>
        </w:rPr>
        <w:t>.</w:t>
      </w:r>
      <w:r w:rsidRPr="007A61FA">
        <w:rPr>
          <w:rFonts w:ascii="Cambria" w:hAnsi="Cambria"/>
        </w:rPr>
        <w:t xml:space="preserve"> </w:t>
      </w:r>
      <w:r w:rsidRPr="007A61FA">
        <w:rPr>
          <w:rFonts w:ascii="Cambria" w:hAnsi="Cambria"/>
          <w:b/>
        </w:rPr>
        <w:t xml:space="preserve">1992, </w:t>
      </w:r>
      <w:r w:rsidRPr="007A61FA">
        <w:rPr>
          <w:rFonts w:ascii="Cambria" w:hAnsi="Cambria"/>
          <w:i/>
        </w:rPr>
        <w:t>55,</w:t>
      </w:r>
      <w:r w:rsidRPr="007A61FA">
        <w:rPr>
          <w:rFonts w:ascii="Cambria" w:hAnsi="Cambria"/>
        </w:rPr>
        <w:t xml:space="preserve"> 541.</w:t>
      </w:r>
    </w:p>
    <w:p w14:paraId="2C8F8780" w14:textId="77777777" w:rsidR="007E28C9" w:rsidRPr="007A61FA" w:rsidRDefault="007E28C9" w:rsidP="007E28C9">
      <w:pPr>
        <w:jc w:val="both"/>
        <w:rPr>
          <w:rFonts w:ascii="Cambria" w:hAnsi="Cambria"/>
        </w:rPr>
      </w:pPr>
      <w:r w:rsidRPr="007A61FA">
        <w:rPr>
          <w:rFonts w:ascii="Cambria" w:hAnsi="Cambria"/>
        </w:rPr>
        <w:t xml:space="preserve">3. Kim, S.-T.; Malhotra, K.; Smith, C.; Taylor, J.; </w:t>
      </w:r>
      <w:proofErr w:type="spellStart"/>
      <w:r w:rsidRPr="007A61FA">
        <w:rPr>
          <w:rFonts w:ascii="Cambria" w:hAnsi="Cambria"/>
        </w:rPr>
        <w:t>Sancar</w:t>
      </w:r>
      <w:proofErr w:type="spellEnd"/>
      <w:r w:rsidRPr="007A61FA">
        <w:rPr>
          <w:rFonts w:ascii="Cambria" w:hAnsi="Cambria"/>
        </w:rPr>
        <w:t xml:space="preserve">, A. </w:t>
      </w:r>
      <w:r w:rsidRPr="007A61FA">
        <w:rPr>
          <w:rFonts w:ascii="Cambria" w:hAnsi="Cambria"/>
          <w:i/>
        </w:rPr>
        <w:t>Biochemistry</w:t>
      </w:r>
      <w:r w:rsidRPr="007A61FA">
        <w:rPr>
          <w:rFonts w:ascii="Cambria" w:hAnsi="Cambria"/>
        </w:rPr>
        <w:t xml:space="preserve"> </w:t>
      </w:r>
      <w:r w:rsidRPr="007A61FA">
        <w:rPr>
          <w:rFonts w:ascii="Cambria" w:hAnsi="Cambria"/>
          <w:b/>
        </w:rPr>
        <w:t xml:space="preserve">1993, </w:t>
      </w:r>
      <w:r w:rsidRPr="007A61FA">
        <w:rPr>
          <w:rFonts w:ascii="Cambria" w:hAnsi="Cambria"/>
          <w:i/>
        </w:rPr>
        <w:t>32</w:t>
      </w:r>
      <w:r w:rsidRPr="007A61FA">
        <w:rPr>
          <w:rFonts w:ascii="Cambria" w:hAnsi="Cambria"/>
        </w:rPr>
        <w:t>, 7065.</w:t>
      </w:r>
    </w:p>
    <w:p w14:paraId="194DF8F8" w14:textId="77777777" w:rsidR="007E28C9" w:rsidRPr="007A61FA" w:rsidRDefault="007E28C9" w:rsidP="007E28C9">
      <w:pPr>
        <w:jc w:val="both"/>
        <w:rPr>
          <w:rFonts w:ascii="Cambria" w:hAnsi="Cambria"/>
        </w:rPr>
      </w:pPr>
      <w:r w:rsidRPr="007A61FA">
        <w:rPr>
          <w:rFonts w:ascii="Cambria" w:hAnsi="Cambria"/>
        </w:rPr>
        <w:t xml:space="preserve">4. Cheng, C. M.; Egbe, M. J.; </w:t>
      </w:r>
      <w:proofErr w:type="spellStart"/>
      <w:r w:rsidRPr="007A61FA">
        <w:rPr>
          <w:rFonts w:ascii="Cambria" w:hAnsi="Cambria"/>
        </w:rPr>
        <w:t>Grasshoff</w:t>
      </w:r>
      <w:proofErr w:type="spellEnd"/>
      <w:r w:rsidRPr="007A61FA">
        <w:rPr>
          <w:rFonts w:ascii="Cambria" w:hAnsi="Cambria"/>
        </w:rPr>
        <w:t xml:space="preserve">, M. J.; </w:t>
      </w:r>
      <w:proofErr w:type="spellStart"/>
      <w:r w:rsidRPr="007A61FA">
        <w:rPr>
          <w:rFonts w:ascii="Cambria" w:hAnsi="Cambria"/>
        </w:rPr>
        <w:t>Guarrera</w:t>
      </w:r>
      <w:proofErr w:type="spellEnd"/>
      <w:r w:rsidRPr="007A61FA">
        <w:rPr>
          <w:rFonts w:ascii="Cambria" w:hAnsi="Cambria"/>
        </w:rPr>
        <w:t xml:space="preserve">, D. J.; Pai, R. P.; Taylor, L. D.; Warner, J. C. </w:t>
      </w:r>
      <w:r w:rsidRPr="007A61FA">
        <w:rPr>
          <w:rFonts w:ascii="Cambria" w:hAnsi="Cambria"/>
          <w:i/>
        </w:rPr>
        <w:t xml:space="preserve">J. </w:t>
      </w:r>
      <w:proofErr w:type="spellStart"/>
      <w:r w:rsidRPr="007A61FA">
        <w:rPr>
          <w:rFonts w:ascii="Cambria" w:hAnsi="Cambria"/>
          <w:i/>
        </w:rPr>
        <w:t>Polym</w:t>
      </w:r>
      <w:proofErr w:type="spellEnd"/>
      <w:r w:rsidRPr="007A61FA">
        <w:rPr>
          <w:rFonts w:ascii="Cambria" w:hAnsi="Cambria"/>
          <w:i/>
        </w:rPr>
        <w:t xml:space="preserve">. Sci., Part A: </w:t>
      </w:r>
      <w:proofErr w:type="spellStart"/>
      <w:r w:rsidRPr="007A61FA">
        <w:rPr>
          <w:rFonts w:ascii="Cambria" w:hAnsi="Cambria"/>
          <w:i/>
        </w:rPr>
        <w:t>Polym</w:t>
      </w:r>
      <w:proofErr w:type="spellEnd"/>
      <w:r w:rsidRPr="007A61FA">
        <w:rPr>
          <w:rFonts w:ascii="Cambria" w:hAnsi="Cambria"/>
          <w:i/>
        </w:rPr>
        <w:t xml:space="preserve">. Chem. </w:t>
      </w:r>
      <w:r w:rsidRPr="007A61FA">
        <w:rPr>
          <w:rFonts w:ascii="Cambria" w:hAnsi="Cambria"/>
          <w:b/>
        </w:rPr>
        <w:t xml:space="preserve">1995, </w:t>
      </w:r>
      <w:r w:rsidRPr="007A61FA">
        <w:rPr>
          <w:rFonts w:ascii="Cambria" w:hAnsi="Cambria"/>
          <w:i/>
        </w:rPr>
        <w:t xml:space="preserve">33, </w:t>
      </w:r>
      <w:r w:rsidRPr="007A61FA">
        <w:rPr>
          <w:rFonts w:ascii="Cambria" w:hAnsi="Cambria"/>
        </w:rPr>
        <w:t xml:space="preserve">2515. </w:t>
      </w:r>
    </w:p>
    <w:p w14:paraId="5F54EFCC" w14:textId="77777777" w:rsidR="007E28C9" w:rsidRPr="007A61FA" w:rsidRDefault="007E28C9" w:rsidP="007E28C9">
      <w:pPr>
        <w:jc w:val="both"/>
        <w:rPr>
          <w:rFonts w:ascii="Cambria" w:hAnsi="Cambria"/>
        </w:rPr>
      </w:pPr>
      <w:r w:rsidRPr="007A61FA">
        <w:rPr>
          <w:rFonts w:ascii="Cambria" w:hAnsi="Cambria"/>
        </w:rPr>
        <w:t xml:space="preserve">5. (a) </w:t>
      </w:r>
      <w:proofErr w:type="spellStart"/>
      <w:r w:rsidRPr="007A61FA">
        <w:rPr>
          <w:rFonts w:ascii="Cambria" w:hAnsi="Cambria"/>
        </w:rPr>
        <w:t>Grasshoff</w:t>
      </w:r>
      <w:proofErr w:type="spellEnd"/>
      <w:r w:rsidRPr="007A61FA">
        <w:rPr>
          <w:rFonts w:ascii="Cambria" w:hAnsi="Cambria"/>
        </w:rPr>
        <w:t xml:space="preserve">, J. M.; Taylor, L. D.; Warner, J. C. U.S. Patent 5,395,731, March 7, 1995. (b) </w:t>
      </w:r>
      <w:proofErr w:type="spellStart"/>
      <w:r w:rsidRPr="007A61FA">
        <w:rPr>
          <w:rFonts w:ascii="Cambria" w:hAnsi="Cambria"/>
        </w:rPr>
        <w:t>Grasshoff</w:t>
      </w:r>
      <w:proofErr w:type="spellEnd"/>
      <w:r w:rsidRPr="007A61FA">
        <w:rPr>
          <w:rFonts w:ascii="Cambria" w:hAnsi="Cambria"/>
        </w:rPr>
        <w:t xml:space="preserve">, J. M.; Taylor, L. D.; Warner, J. C. U. S. Patent 5,455,349, Oct 3, 1995. (c) </w:t>
      </w:r>
      <w:proofErr w:type="spellStart"/>
      <w:r w:rsidRPr="007A61FA">
        <w:rPr>
          <w:rFonts w:ascii="Cambria" w:hAnsi="Cambria"/>
        </w:rPr>
        <w:t>Grasshoff</w:t>
      </w:r>
      <w:proofErr w:type="spellEnd"/>
      <w:r w:rsidRPr="007A61FA">
        <w:rPr>
          <w:rFonts w:ascii="Cambria" w:hAnsi="Cambria"/>
        </w:rPr>
        <w:t xml:space="preserve">, J. M.; Taylor, L. D.; Warner, J. C. U. S. Patent 5,616,451, April 1, 1997. (d) </w:t>
      </w:r>
      <w:proofErr w:type="spellStart"/>
      <w:r w:rsidRPr="007A61FA">
        <w:rPr>
          <w:rFonts w:ascii="Cambria" w:hAnsi="Cambria"/>
        </w:rPr>
        <w:t>Grasshoff</w:t>
      </w:r>
      <w:proofErr w:type="spellEnd"/>
      <w:r w:rsidRPr="007A61FA">
        <w:rPr>
          <w:rFonts w:ascii="Cambria" w:hAnsi="Cambria"/>
        </w:rPr>
        <w:t>, J. M.; Taylor, L. D.; Warner, J. C. U. S. Patent 5,708,106, Jan 13, 1998.</w:t>
      </w:r>
    </w:p>
    <w:p w14:paraId="58805DAB" w14:textId="77777777" w:rsidR="007E28C9" w:rsidRPr="007A61FA" w:rsidRDefault="007E28C9" w:rsidP="007E28C9">
      <w:pPr>
        <w:jc w:val="both"/>
        <w:rPr>
          <w:rFonts w:ascii="Cambria" w:hAnsi="Cambria"/>
        </w:rPr>
      </w:pPr>
      <w:r w:rsidRPr="007A61FA">
        <w:rPr>
          <w:rFonts w:ascii="Cambria" w:hAnsi="Cambria"/>
          <w:lang w:val="sv-SE"/>
        </w:rPr>
        <w:t xml:space="preserve">6. </w:t>
      </w:r>
      <w:proofErr w:type="spellStart"/>
      <w:r w:rsidRPr="007A61FA">
        <w:rPr>
          <w:rFonts w:ascii="Cambria" w:hAnsi="Cambria"/>
          <w:lang w:val="sv-SE"/>
        </w:rPr>
        <w:t>Frechet</w:t>
      </w:r>
      <w:proofErr w:type="spellEnd"/>
      <w:r w:rsidRPr="007A61FA">
        <w:rPr>
          <w:rFonts w:ascii="Cambria" w:hAnsi="Cambria"/>
          <w:lang w:val="sv-SE"/>
        </w:rPr>
        <w:t xml:space="preserve">, J.; </w:t>
      </w:r>
      <w:proofErr w:type="spellStart"/>
      <w:r w:rsidRPr="007A61FA">
        <w:rPr>
          <w:rFonts w:ascii="Cambria" w:hAnsi="Cambria"/>
          <w:lang w:val="sv-SE"/>
        </w:rPr>
        <w:t>Havard</w:t>
      </w:r>
      <w:proofErr w:type="spellEnd"/>
      <w:r w:rsidRPr="007A61FA">
        <w:rPr>
          <w:rFonts w:ascii="Cambria" w:hAnsi="Cambria"/>
          <w:lang w:val="sv-SE"/>
        </w:rPr>
        <w:t xml:space="preserve">, J.; Lee, S.; </w:t>
      </w:r>
      <w:proofErr w:type="spellStart"/>
      <w:r w:rsidRPr="007A61FA">
        <w:rPr>
          <w:rFonts w:ascii="Cambria" w:hAnsi="Cambria"/>
          <w:lang w:val="sv-SE"/>
        </w:rPr>
        <w:t>Shim</w:t>
      </w:r>
      <w:proofErr w:type="spellEnd"/>
      <w:r w:rsidRPr="007A61FA">
        <w:rPr>
          <w:rFonts w:ascii="Cambria" w:hAnsi="Cambria"/>
          <w:lang w:val="sv-SE"/>
        </w:rPr>
        <w:t xml:space="preserve">, S.; </w:t>
      </w:r>
      <w:proofErr w:type="spellStart"/>
      <w:r w:rsidRPr="007A61FA">
        <w:rPr>
          <w:rFonts w:ascii="Cambria" w:hAnsi="Cambria"/>
          <w:lang w:val="sv-SE"/>
        </w:rPr>
        <w:t>Uranker</w:t>
      </w:r>
      <w:proofErr w:type="spellEnd"/>
      <w:r w:rsidRPr="007A61FA">
        <w:rPr>
          <w:rFonts w:ascii="Cambria" w:hAnsi="Cambria"/>
          <w:lang w:val="sv-SE"/>
        </w:rPr>
        <w:t xml:space="preserve">, E. </w:t>
      </w:r>
      <w:proofErr w:type="spellStart"/>
      <w:r w:rsidRPr="007A61FA">
        <w:rPr>
          <w:rFonts w:ascii="Cambria" w:hAnsi="Cambria"/>
          <w:i/>
          <w:lang w:val="sv-SE"/>
        </w:rPr>
        <w:t>Polym</w:t>
      </w:r>
      <w:proofErr w:type="spellEnd"/>
      <w:r w:rsidRPr="007A61FA">
        <w:rPr>
          <w:rFonts w:ascii="Cambria" w:hAnsi="Cambria"/>
          <w:i/>
          <w:lang w:val="sv-SE"/>
        </w:rPr>
        <w:t xml:space="preserve">. </w:t>
      </w:r>
      <w:r w:rsidRPr="007A61FA">
        <w:rPr>
          <w:rFonts w:ascii="Cambria" w:hAnsi="Cambria"/>
          <w:i/>
        </w:rPr>
        <w:t xml:space="preserve">Mater. Sci. Eng. </w:t>
      </w:r>
      <w:r w:rsidRPr="007A61FA">
        <w:rPr>
          <w:rFonts w:ascii="Cambria" w:hAnsi="Cambria"/>
          <w:b/>
        </w:rPr>
        <w:t xml:space="preserve">1995, </w:t>
      </w:r>
      <w:r w:rsidRPr="007A61FA">
        <w:rPr>
          <w:rFonts w:ascii="Cambria" w:hAnsi="Cambria"/>
          <w:i/>
        </w:rPr>
        <w:t xml:space="preserve">72, </w:t>
      </w:r>
      <w:r w:rsidRPr="007A61FA">
        <w:rPr>
          <w:rFonts w:ascii="Cambria" w:hAnsi="Cambria"/>
        </w:rPr>
        <w:t>4.</w:t>
      </w:r>
    </w:p>
    <w:p w14:paraId="4F964CED" w14:textId="77777777" w:rsidR="007E28C9" w:rsidRPr="007A61FA" w:rsidRDefault="007E28C9" w:rsidP="007E28C9">
      <w:pPr>
        <w:pStyle w:val="HTMLPreformatted"/>
        <w:rPr>
          <w:rFonts w:ascii="Cambria" w:hAnsi="Cambria"/>
          <w:sz w:val="24"/>
          <w:szCs w:val="24"/>
        </w:rPr>
      </w:pPr>
    </w:p>
    <w:p w14:paraId="5411F7D6" w14:textId="77777777" w:rsidR="007E28C9" w:rsidRDefault="007E28C9" w:rsidP="007E28C9">
      <w:pPr>
        <w:pStyle w:val="HTMLPreformatted"/>
        <w:rPr>
          <w:rFonts w:ascii="Cambria" w:hAnsi="Cambria"/>
          <w:sz w:val="24"/>
          <w:szCs w:val="24"/>
        </w:rPr>
      </w:pPr>
    </w:p>
    <w:p w14:paraId="505DC17B" w14:textId="77777777" w:rsidR="007E28C9" w:rsidRDefault="007E28C9" w:rsidP="007E28C9">
      <w:pPr>
        <w:pStyle w:val="HTMLPreformatted"/>
        <w:rPr>
          <w:rFonts w:ascii="Cambria" w:hAnsi="Cambria"/>
          <w:sz w:val="24"/>
          <w:szCs w:val="24"/>
        </w:rPr>
      </w:pPr>
    </w:p>
    <w:p w14:paraId="37D46560" w14:textId="77777777" w:rsidR="007E28C9" w:rsidRDefault="007E28C9" w:rsidP="007E28C9">
      <w:pPr>
        <w:pStyle w:val="HTMLPreformatted"/>
        <w:rPr>
          <w:rFonts w:ascii="Cambria" w:hAnsi="Cambria"/>
          <w:sz w:val="24"/>
          <w:szCs w:val="24"/>
        </w:rPr>
      </w:pPr>
    </w:p>
    <w:p w14:paraId="6A41D79C" w14:textId="77777777" w:rsidR="007E28C9" w:rsidRDefault="007E28C9" w:rsidP="007E28C9">
      <w:pPr>
        <w:pStyle w:val="HTMLPreformatted"/>
        <w:rPr>
          <w:rFonts w:ascii="Cambria" w:hAnsi="Cambria"/>
          <w:sz w:val="24"/>
          <w:szCs w:val="24"/>
        </w:rPr>
      </w:pPr>
    </w:p>
    <w:p w14:paraId="7AF95D4D" w14:textId="77777777" w:rsidR="007E28C9" w:rsidRDefault="007E28C9" w:rsidP="007E28C9">
      <w:pPr>
        <w:pStyle w:val="HTMLPreformatted"/>
        <w:rPr>
          <w:rFonts w:ascii="Cambria" w:hAnsi="Cambria"/>
          <w:sz w:val="24"/>
          <w:szCs w:val="24"/>
        </w:rPr>
      </w:pPr>
    </w:p>
    <w:p w14:paraId="4B7D46D0" w14:textId="77777777" w:rsidR="007E28C9" w:rsidRDefault="007E28C9" w:rsidP="007E28C9">
      <w:pPr>
        <w:pStyle w:val="HTMLPreformatted"/>
        <w:rPr>
          <w:rFonts w:ascii="Cambria" w:hAnsi="Cambria"/>
          <w:sz w:val="24"/>
          <w:szCs w:val="24"/>
        </w:rPr>
      </w:pPr>
    </w:p>
    <w:p w14:paraId="20126C83" w14:textId="77777777" w:rsidR="007E28C9" w:rsidRDefault="007E28C9" w:rsidP="007E28C9">
      <w:pPr>
        <w:pStyle w:val="HTMLPreformatted"/>
        <w:rPr>
          <w:rFonts w:ascii="Cambria" w:hAnsi="Cambria"/>
          <w:sz w:val="24"/>
          <w:szCs w:val="24"/>
        </w:rPr>
      </w:pPr>
    </w:p>
    <w:p w14:paraId="7DD993FC" w14:textId="77777777" w:rsidR="007E28C9" w:rsidRDefault="007E28C9" w:rsidP="007E28C9">
      <w:pPr>
        <w:pStyle w:val="HTMLPreformatted"/>
        <w:rPr>
          <w:rFonts w:ascii="Cambria" w:hAnsi="Cambria"/>
          <w:sz w:val="24"/>
          <w:szCs w:val="24"/>
        </w:rPr>
      </w:pPr>
    </w:p>
    <w:p w14:paraId="1F0F25CE" w14:textId="77777777" w:rsidR="007E28C9" w:rsidRDefault="007E28C9" w:rsidP="007E28C9">
      <w:pPr>
        <w:pStyle w:val="HTMLPreformatted"/>
        <w:rPr>
          <w:rFonts w:ascii="Cambria" w:hAnsi="Cambria"/>
          <w:sz w:val="24"/>
          <w:szCs w:val="24"/>
        </w:rPr>
      </w:pPr>
    </w:p>
    <w:p w14:paraId="232A2209" w14:textId="77777777" w:rsidR="007E28C9" w:rsidRDefault="007E28C9" w:rsidP="007E28C9">
      <w:pPr>
        <w:pStyle w:val="HTMLPreformatted"/>
        <w:rPr>
          <w:rFonts w:ascii="Cambria" w:hAnsi="Cambria"/>
          <w:sz w:val="24"/>
          <w:szCs w:val="24"/>
        </w:rPr>
      </w:pPr>
    </w:p>
    <w:p w14:paraId="226870B6" w14:textId="77777777" w:rsidR="007E28C9" w:rsidRDefault="007E28C9" w:rsidP="007E28C9">
      <w:pPr>
        <w:pStyle w:val="HTMLPreformatted"/>
        <w:rPr>
          <w:rFonts w:ascii="Cambria" w:hAnsi="Cambria"/>
          <w:sz w:val="24"/>
          <w:szCs w:val="24"/>
        </w:rPr>
      </w:pPr>
    </w:p>
    <w:p w14:paraId="1BB8CDDC" w14:textId="77777777" w:rsidR="007E28C9" w:rsidRDefault="007E28C9" w:rsidP="007E28C9">
      <w:pPr>
        <w:pStyle w:val="HTMLPreformatted"/>
        <w:rPr>
          <w:rFonts w:ascii="Cambria" w:hAnsi="Cambria"/>
          <w:sz w:val="24"/>
          <w:szCs w:val="24"/>
        </w:rPr>
      </w:pPr>
    </w:p>
    <w:p w14:paraId="1BBE3F4D" w14:textId="77777777" w:rsidR="007E28C9" w:rsidRDefault="007E28C9" w:rsidP="007E28C9">
      <w:pPr>
        <w:pStyle w:val="HTMLPreformatted"/>
        <w:rPr>
          <w:rFonts w:ascii="Cambria" w:hAnsi="Cambria"/>
          <w:sz w:val="24"/>
          <w:szCs w:val="24"/>
        </w:rPr>
      </w:pPr>
    </w:p>
    <w:p w14:paraId="6C8F204C" w14:textId="77777777" w:rsidR="007E28C9" w:rsidRDefault="007E28C9" w:rsidP="007E28C9">
      <w:pPr>
        <w:pStyle w:val="HTMLPreformatted"/>
        <w:rPr>
          <w:rFonts w:ascii="Cambria" w:hAnsi="Cambria"/>
          <w:sz w:val="24"/>
          <w:szCs w:val="24"/>
        </w:rPr>
      </w:pPr>
    </w:p>
    <w:p w14:paraId="49D6EDB5" w14:textId="77777777" w:rsidR="007E28C9" w:rsidRDefault="007E28C9" w:rsidP="007E28C9">
      <w:pPr>
        <w:pStyle w:val="HTMLPreformatted"/>
        <w:rPr>
          <w:rFonts w:ascii="Cambria" w:hAnsi="Cambria"/>
          <w:sz w:val="24"/>
          <w:szCs w:val="24"/>
        </w:rPr>
      </w:pPr>
    </w:p>
    <w:p w14:paraId="556A1A62" w14:textId="77777777" w:rsidR="007E28C9" w:rsidRDefault="007E28C9" w:rsidP="007E28C9">
      <w:pPr>
        <w:pStyle w:val="HTMLPreformatted"/>
        <w:rPr>
          <w:rFonts w:ascii="Cambria" w:hAnsi="Cambria"/>
          <w:sz w:val="24"/>
          <w:szCs w:val="24"/>
        </w:rPr>
      </w:pPr>
    </w:p>
    <w:p w14:paraId="62831570" w14:textId="77777777" w:rsidR="007E28C9" w:rsidRDefault="007E28C9" w:rsidP="007E28C9">
      <w:pPr>
        <w:pStyle w:val="HTMLPreformatted"/>
        <w:rPr>
          <w:rFonts w:ascii="Cambria" w:hAnsi="Cambria"/>
          <w:sz w:val="24"/>
          <w:szCs w:val="24"/>
        </w:rPr>
      </w:pPr>
    </w:p>
    <w:p w14:paraId="3DC3B4E5" w14:textId="77777777" w:rsidR="007E28C9" w:rsidRPr="00BC70AE" w:rsidRDefault="007E28C9" w:rsidP="00BC70AE">
      <w:pPr>
        <w:rPr>
          <w:rFonts w:ascii="Calibri" w:hAnsi="Calibri"/>
          <w:b/>
          <w:noProof/>
          <w:color w:val="48B49F"/>
          <w:sz w:val="56"/>
          <w:szCs w:val="56"/>
        </w:rPr>
      </w:pPr>
    </w:p>
    <w:sectPr w:rsidR="007E28C9" w:rsidRPr="00BC70AE" w:rsidSect="007E28C9">
      <w:footerReference w:type="even" r:id="rId29"/>
      <w:footerReference w:type="default" r:id="rId30"/>
      <w:pgSz w:w="12240" w:h="15840"/>
      <w:pgMar w:top="907" w:right="180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4B23B" w14:textId="77777777" w:rsidR="0081041F" w:rsidRDefault="0081041F" w:rsidP="00487C24">
      <w:r>
        <w:separator/>
      </w:r>
    </w:p>
  </w:endnote>
  <w:endnote w:type="continuationSeparator" w:id="0">
    <w:p w14:paraId="71673E3B" w14:textId="77777777" w:rsidR="0081041F" w:rsidRDefault="0081041F"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5C48A" w14:textId="77777777" w:rsidR="00BE600B" w:rsidRDefault="00BE60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8F0F0" w14:textId="6FD22977" w:rsidR="007E28C9" w:rsidRDefault="007E28C9" w:rsidP="00BE600B">
    <w:pPr>
      <w:pStyle w:val="Footer"/>
      <w:jc w:val="right"/>
    </w:pPr>
    <w:r>
      <w:tab/>
    </w:r>
    <w:r>
      <w:tab/>
    </w:r>
    <w:r w:rsidRPr="00C611FF">
      <w:t>© 2017 www.beyondbenign.org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A4774" w14:textId="77777777" w:rsidR="00BE600B" w:rsidRDefault="00BE60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B493F" w:rsidRPr="00BE5695" w14:paraId="66F43EE0" w14:textId="77777777" w:rsidTr="004033F1">
      <w:tc>
        <w:tcPr>
          <w:tcW w:w="360" w:type="dxa"/>
          <w:shd w:val="clear" w:color="auto" w:fill="DBE5F1" w:themeFill="accent1" w:themeFillTint="33"/>
        </w:tcPr>
        <w:p w14:paraId="23CAFC31" w14:textId="77777777" w:rsidR="00EB493F" w:rsidRPr="00BE5695" w:rsidRDefault="00EB493F"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EB493F" w:rsidRPr="00BE5695" w:rsidRDefault="0081041F"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B493F"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EB493F" w:rsidRDefault="00EB493F">
    <w:pPr>
      <w:pStyle w:val="Footer"/>
    </w:pPr>
  </w:p>
  <w:p w14:paraId="4A8C4390" w14:textId="77777777" w:rsidR="00EB493F" w:rsidRDefault="00EB493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EB493F" w:rsidRPr="00487C24" w:rsidRDefault="00EB493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17CDD" w14:textId="77777777" w:rsidR="0081041F" w:rsidRDefault="0081041F" w:rsidP="00487C24">
      <w:r>
        <w:separator/>
      </w:r>
    </w:p>
  </w:footnote>
  <w:footnote w:type="continuationSeparator" w:id="0">
    <w:p w14:paraId="58B4BA38" w14:textId="77777777" w:rsidR="0081041F" w:rsidRDefault="0081041F" w:rsidP="00487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2686" w14:textId="77777777" w:rsidR="00BE600B" w:rsidRDefault="00BE60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92D44" w14:textId="77777777" w:rsidR="00BE600B" w:rsidRDefault="00BE60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900C2" w14:textId="77777777" w:rsidR="00BE600B" w:rsidRDefault="00BE6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6C62C7"/>
    <w:multiLevelType w:val="hybridMultilevel"/>
    <w:tmpl w:val="9632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15"/>
  </w:num>
  <w:num w:numId="4">
    <w:abstractNumId w:val="24"/>
  </w:num>
  <w:num w:numId="5">
    <w:abstractNumId w:val="23"/>
  </w:num>
  <w:num w:numId="6">
    <w:abstractNumId w:val="14"/>
  </w:num>
  <w:num w:numId="7">
    <w:abstractNumId w:val="25"/>
  </w:num>
  <w:num w:numId="8">
    <w:abstractNumId w:val="9"/>
  </w:num>
  <w:num w:numId="9">
    <w:abstractNumId w:val="28"/>
  </w:num>
  <w:num w:numId="10">
    <w:abstractNumId w:val="17"/>
  </w:num>
  <w:num w:numId="11">
    <w:abstractNumId w:val="31"/>
  </w:num>
  <w:num w:numId="12">
    <w:abstractNumId w:val="32"/>
  </w:num>
  <w:num w:numId="13">
    <w:abstractNumId w:val="19"/>
  </w:num>
  <w:num w:numId="14">
    <w:abstractNumId w:val="20"/>
  </w:num>
  <w:num w:numId="15">
    <w:abstractNumId w:val="8"/>
  </w:num>
  <w:num w:numId="16">
    <w:abstractNumId w:val="1"/>
  </w:num>
  <w:num w:numId="17">
    <w:abstractNumId w:val="7"/>
  </w:num>
  <w:num w:numId="18">
    <w:abstractNumId w:val="26"/>
  </w:num>
  <w:num w:numId="19">
    <w:abstractNumId w:val="29"/>
  </w:num>
  <w:num w:numId="20">
    <w:abstractNumId w:val="13"/>
  </w:num>
  <w:num w:numId="21">
    <w:abstractNumId w:val="4"/>
  </w:num>
  <w:num w:numId="22">
    <w:abstractNumId w:val="5"/>
  </w:num>
  <w:num w:numId="23">
    <w:abstractNumId w:val="27"/>
  </w:num>
  <w:num w:numId="24">
    <w:abstractNumId w:val="0"/>
  </w:num>
  <w:num w:numId="25">
    <w:abstractNumId w:val="10"/>
  </w:num>
  <w:num w:numId="26">
    <w:abstractNumId w:val="18"/>
  </w:num>
  <w:num w:numId="27">
    <w:abstractNumId w:val="3"/>
  </w:num>
  <w:num w:numId="28">
    <w:abstractNumId w:val="6"/>
  </w:num>
  <w:num w:numId="29">
    <w:abstractNumId w:val="30"/>
  </w:num>
  <w:num w:numId="30">
    <w:abstractNumId w:val="11"/>
  </w:num>
  <w:num w:numId="31">
    <w:abstractNumId w:val="16"/>
  </w:num>
  <w:num w:numId="32">
    <w:abstractNumId w:val="2"/>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104C6E"/>
    <w:rsid w:val="00155AB1"/>
    <w:rsid w:val="001E3D5E"/>
    <w:rsid w:val="002578FF"/>
    <w:rsid w:val="00273E9A"/>
    <w:rsid w:val="00284FA4"/>
    <w:rsid w:val="002A2BF6"/>
    <w:rsid w:val="0035658A"/>
    <w:rsid w:val="003934A4"/>
    <w:rsid w:val="004033F1"/>
    <w:rsid w:val="00420C16"/>
    <w:rsid w:val="00487C24"/>
    <w:rsid w:val="00520868"/>
    <w:rsid w:val="005536F3"/>
    <w:rsid w:val="00632F1D"/>
    <w:rsid w:val="006541FF"/>
    <w:rsid w:val="006D01E4"/>
    <w:rsid w:val="00726C73"/>
    <w:rsid w:val="00727C71"/>
    <w:rsid w:val="007B52DC"/>
    <w:rsid w:val="007E28C9"/>
    <w:rsid w:val="0081041F"/>
    <w:rsid w:val="00881848"/>
    <w:rsid w:val="008E576D"/>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youtube.com/watch?v=sl2j83LCHss"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www.zimmers.net/anonftp/pub/cbm/documents/projects/interfaces/mouse/Filez/Pcb.gif"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hyperlink" Target="http://www.teachertube.com/viewVideo.php?video_id=106619&amp;title=WR3A___Fair_Trade_Recycling&amp;vpke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eyondbenign.org" TargetMode="External"/><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yperlink" Target="http://www.youtube.com/watch?v=0JZey9GJQP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ban.org/photogallery/index.html" TargetMode="External"/><Relationship Id="rId27" Type="http://schemas.openxmlformats.org/officeDocument/2006/relationships/image" Target="media/image7.emf"/><Relationship Id="rId30" Type="http://schemas.openxmlformats.org/officeDocument/2006/relationships/footer" Target="footer5.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CC64E5"/>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8747A-7B06-CC49-BFD8-FF610987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3877</Words>
  <Characters>22099</Characters>
  <Application>Microsoft Office Word</Application>
  <DocSecurity>0</DocSecurity>
  <Lines>184</Lines>
  <Paragraphs>51</Paragraphs>
  <ScaleCrop>false</ScaleCrop>
  <Company>Elles Design Studio</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2021-09-23T18:46:00Z</dcterms:created>
  <dcterms:modified xsi:type="dcterms:W3CDTF">2021-09-23T18:46:00Z</dcterms:modified>
</cp:coreProperties>
</file>